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2" w:type="dxa"/>
        <w:tblInd w:w="-431" w:type="dxa"/>
        <w:tblLayout w:type="fixed"/>
        <w:tblLook w:val="0000" w:firstRow="0" w:lastRow="0" w:firstColumn="0" w:lastColumn="0" w:noHBand="0" w:noVBand="0"/>
      </w:tblPr>
      <w:tblGrid>
        <w:gridCol w:w="3692"/>
        <w:gridCol w:w="5670"/>
      </w:tblGrid>
      <w:tr w:rsidR="00502125" w:rsidRPr="00E24417" w14:paraId="1B946FD8" w14:textId="77777777" w:rsidTr="00564E8C">
        <w:tc>
          <w:tcPr>
            <w:tcW w:w="3692" w:type="dxa"/>
          </w:tcPr>
          <w:p w14:paraId="0F1C6027" w14:textId="30D34F69" w:rsidR="00564E8C" w:rsidRPr="00E24417" w:rsidRDefault="00564E8C" w:rsidP="007921E1">
            <w:pPr>
              <w:widowControl w:val="0"/>
              <w:pBdr>
                <w:top w:val="nil"/>
                <w:left w:val="nil"/>
                <w:bottom w:val="nil"/>
                <w:right w:val="nil"/>
                <w:between w:val="nil"/>
              </w:pBdr>
              <w:spacing w:before="0"/>
              <w:ind w:firstLine="0"/>
              <w:jc w:val="center"/>
              <w:rPr>
                <w:vertAlign w:val="superscript"/>
              </w:rPr>
            </w:pPr>
            <w:r w:rsidRPr="00E24417">
              <w:rPr>
                <w:b/>
              </w:rPr>
              <w:t>BỘ CÔNG THƯƠNG</w:t>
            </w:r>
          </w:p>
          <w:p w14:paraId="0DB313E0" w14:textId="30F278D4" w:rsidR="0022242E" w:rsidRPr="00E24417" w:rsidRDefault="00F510B7" w:rsidP="007921E1">
            <w:pPr>
              <w:widowControl w:val="0"/>
              <w:pBdr>
                <w:top w:val="nil"/>
                <w:left w:val="nil"/>
                <w:bottom w:val="nil"/>
                <w:right w:val="nil"/>
                <w:between w:val="nil"/>
              </w:pBdr>
              <w:spacing w:before="0"/>
              <w:ind w:firstLine="0"/>
              <w:jc w:val="center"/>
              <w:rPr>
                <w:sz w:val="28"/>
                <w:szCs w:val="28"/>
                <w:vertAlign w:val="superscript"/>
              </w:rPr>
            </w:pPr>
            <w:r w:rsidRPr="00E24417">
              <w:rPr>
                <w:noProof/>
                <w:sz w:val="28"/>
                <w:szCs w:val="28"/>
                <w:vertAlign w:val="superscript"/>
              </w:rPr>
              <mc:AlternateContent>
                <mc:Choice Requires="wps">
                  <w:drawing>
                    <wp:anchor distT="0" distB="0" distL="114300" distR="114300" simplePos="0" relativeHeight="251661312" behindDoc="0" locked="0" layoutInCell="1" allowOverlap="1" wp14:anchorId="38D4EEB8" wp14:editId="5058C5C7">
                      <wp:simplePos x="0" y="0"/>
                      <wp:positionH relativeFrom="column">
                        <wp:posOffset>706755</wp:posOffset>
                      </wp:positionH>
                      <wp:positionV relativeFrom="paragraph">
                        <wp:posOffset>95116</wp:posOffset>
                      </wp:positionV>
                      <wp:extent cx="723568" cy="0"/>
                      <wp:effectExtent l="0" t="0" r="19685" b="19050"/>
                      <wp:wrapNone/>
                      <wp:docPr id="5" name="Straight Connector 5"/>
                      <wp:cNvGraphicFramePr/>
                      <a:graphic xmlns:a="http://schemas.openxmlformats.org/drawingml/2006/main">
                        <a:graphicData uri="http://schemas.microsoft.com/office/word/2010/wordprocessingShape">
                          <wps:wsp>
                            <wps:cNvCnPr/>
                            <wps:spPr>
                              <a:xfrm>
                                <a:off x="0" y="0"/>
                                <a:ext cx="7235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BF7B96"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5.65pt,7.5pt" to="112.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" strokecolor="black [3200]" strokeweight=".5pt">
                      <v:stroke joinstyle="miter"/>
                    </v:line>
                  </w:pict>
                </mc:Fallback>
              </mc:AlternateContent>
            </w:r>
          </w:p>
          <w:p w14:paraId="2A0E373E" w14:textId="3FCF4536" w:rsidR="00944AFE" w:rsidRPr="00E24417" w:rsidRDefault="00585200" w:rsidP="007921E1">
            <w:pPr>
              <w:widowControl w:val="0"/>
              <w:pBdr>
                <w:top w:val="nil"/>
                <w:left w:val="nil"/>
                <w:bottom w:val="nil"/>
                <w:right w:val="nil"/>
                <w:between w:val="nil"/>
              </w:pBdr>
              <w:spacing w:before="0"/>
              <w:ind w:firstLine="0"/>
              <w:jc w:val="center"/>
              <w:rPr>
                <w:sz w:val="28"/>
                <w:szCs w:val="28"/>
              </w:rPr>
            </w:pPr>
            <w:r w:rsidRPr="00E24417">
              <w:rPr>
                <w:noProof/>
                <w:sz w:val="28"/>
                <w:szCs w:val="28"/>
              </w:rPr>
              <mc:AlternateContent>
                <mc:Choice Requires="wps">
                  <w:drawing>
                    <wp:anchor distT="0" distB="0" distL="114297" distR="114297" simplePos="0" relativeHeight="251655680" behindDoc="0" locked="0" layoutInCell="1" allowOverlap="1" wp14:anchorId="077C28C5" wp14:editId="283993A9">
                      <wp:simplePos x="0" y="0"/>
                      <wp:positionH relativeFrom="column">
                        <wp:posOffset>800100</wp:posOffset>
                      </wp:positionH>
                      <wp:positionV relativeFrom="paragraph">
                        <wp:posOffset>50800</wp:posOffset>
                      </wp:positionV>
                      <wp:extent cx="0" cy="12700"/>
                      <wp:effectExtent l="8255" t="7620" r="10795" b="0"/>
                      <wp:wrapNone/>
                      <wp:docPr id="3" name="Hình tự do: Hình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944880"/>
                                  <a:gd name="T1" fmla="*/ 0 h 1"/>
                                  <a:gd name="T2" fmla="*/ 944880 w 944880"/>
                                  <a:gd name="T3" fmla="*/ 0 h 1"/>
                                </a:gdLst>
                                <a:ahLst/>
                                <a:cxnLst>
                                  <a:cxn ang="0">
                                    <a:pos x="T0" y="T1"/>
                                  </a:cxn>
                                  <a:cxn ang="0">
                                    <a:pos x="T2" y="T3"/>
                                  </a:cxn>
                                </a:cxnLst>
                                <a:rect l="0" t="0" r="r" b="b"/>
                                <a:pathLst>
                                  <a:path w="944880" h="1" extrusionOk="0">
                                    <a:moveTo>
                                      <a:pt x="0" y="0"/>
                                    </a:moveTo>
                                    <a:lnTo>
                                      <a:pt x="944880"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8E5F38C" id="Hình tự do: Hình 4" o:spid="_x0000_s1026" style="position:absolute;margin-left:63pt;margin-top:4pt;width:0;height:1pt;z-index:25165568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v-text-anchor:middle" coordsize="9448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" path="m,l944880,e" strokeweight="1pt">
                      <v:stroke startarrowwidth="narrow" startarrowlength="short" endarrowwidth="narrow" endarrowlength="short"/>
                      <v:path arrowok="t" o:extrusionok="f" o:connecttype="custom" o:connectlocs="0,0;1,0" o:connectangles="0,0"/>
                    </v:shape>
                  </w:pict>
                </mc:Fallback>
              </mc:AlternateContent>
            </w:r>
          </w:p>
          <w:p w14:paraId="44C9CC6B" w14:textId="05413B4D" w:rsidR="00944AFE" w:rsidRPr="00E24417" w:rsidRDefault="003A631E" w:rsidP="007921E1">
            <w:pPr>
              <w:widowControl w:val="0"/>
              <w:pBdr>
                <w:top w:val="nil"/>
                <w:left w:val="nil"/>
                <w:bottom w:val="nil"/>
                <w:right w:val="nil"/>
                <w:between w:val="nil"/>
              </w:pBdr>
              <w:spacing w:before="0"/>
              <w:ind w:firstLine="0"/>
              <w:jc w:val="center"/>
              <w:rPr>
                <w:sz w:val="28"/>
                <w:szCs w:val="28"/>
              </w:rPr>
            </w:pPr>
            <w:r w:rsidRPr="00E24417">
              <w:rPr>
                <w:sz w:val="28"/>
                <w:szCs w:val="28"/>
              </w:rPr>
              <w:t xml:space="preserve">Số: </w:t>
            </w:r>
            <w:r w:rsidR="00F87A87" w:rsidRPr="00E24417">
              <w:rPr>
                <w:sz w:val="28"/>
                <w:szCs w:val="28"/>
              </w:rPr>
              <w:t xml:space="preserve">   </w:t>
            </w:r>
            <w:r w:rsidR="00C631B8" w:rsidRPr="00E24417">
              <w:rPr>
                <w:sz w:val="28"/>
                <w:szCs w:val="28"/>
              </w:rPr>
              <w:t xml:space="preserve">   </w:t>
            </w:r>
            <w:r w:rsidR="00F87A87" w:rsidRPr="00E24417">
              <w:rPr>
                <w:sz w:val="28"/>
                <w:szCs w:val="28"/>
              </w:rPr>
              <w:t xml:space="preserve">    </w:t>
            </w:r>
            <w:r w:rsidRPr="00E24417">
              <w:rPr>
                <w:sz w:val="28"/>
                <w:szCs w:val="28"/>
              </w:rPr>
              <w:t>/</w:t>
            </w:r>
            <w:r w:rsidR="00DB0647" w:rsidRPr="00E24417">
              <w:rPr>
                <w:sz w:val="28"/>
                <w:szCs w:val="28"/>
              </w:rPr>
              <w:t>TTr-BCT</w:t>
            </w:r>
          </w:p>
        </w:tc>
        <w:tc>
          <w:tcPr>
            <w:tcW w:w="5670" w:type="dxa"/>
          </w:tcPr>
          <w:p w14:paraId="0CB405C2" w14:textId="77777777" w:rsidR="00944AFE" w:rsidRPr="00E24417" w:rsidRDefault="003A631E" w:rsidP="007921E1">
            <w:pPr>
              <w:pStyle w:val="Heading2"/>
              <w:keepNext w:val="0"/>
              <w:widowControl w:val="0"/>
              <w:spacing w:before="0"/>
              <w:ind w:firstLine="0"/>
              <w:jc w:val="center"/>
              <w:rPr>
                <w:i w:val="0"/>
                <w:sz w:val="26"/>
                <w:szCs w:val="26"/>
              </w:rPr>
            </w:pPr>
            <w:r w:rsidRPr="00E24417">
              <w:rPr>
                <w:b/>
                <w:i w:val="0"/>
                <w:sz w:val="26"/>
                <w:szCs w:val="26"/>
              </w:rPr>
              <w:t>CỘNG HÒA XÃ HỘI CHỦ NGHĨA VIỆT NAM</w:t>
            </w:r>
          </w:p>
          <w:p w14:paraId="714D91A1" w14:textId="77777777" w:rsidR="00944AFE" w:rsidRPr="00E24417" w:rsidRDefault="003A631E" w:rsidP="007921E1">
            <w:pPr>
              <w:pStyle w:val="Heading2"/>
              <w:keepNext w:val="0"/>
              <w:widowControl w:val="0"/>
              <w:spacing w:before="0"/>
              <w:ind w:firstLine="0"/>
              <w:jc w:val="center"/>
              <w:rPr>
                <w:b/>
                <w:i w:val="0"/>
              </w:rPr>
            </w:pPr>
            <w:r w:rsidRPr="00E24417">
              <w:rPr>
                <w:b/>
                <w:i w:val="0"/>
              </w:rPr>
              <w:t>Độc lập - Tự do - Hạnh phúc</w:t>
            </w:r>
          </w:p>
          <w:p w14:paraId="47D8C97F" w14:textId="2AA4019E" w:rsidR="0022242E" w:rsidRPr="00E24417" w:rsidRDefault="001F10F9" w:rsidP="007921E1">
            <w:pPr>
              <w:pStyle w:val="Normal1"/>
              <w:widowControl w:val="0"/>
              <w:spacing w:before="0"/>
              <w:ind w:firstLine="0"/>
              <w:jc w:val="center"/>
              <w:rPr>
                <w:sz w:val="28"/>
                <w:szCs w:val="28"/>
                <w:vertAlign w:val="superscript"/>
              </w:rPr>
            </w:pPr>
            <w:r>
              <w:rPr>
                <w:noProof/>
                <w:sz w:val="28"/>
                <w:szCs w:val="28"/>
                <w:vertAlign w:val="superscript"/>
              </w:rPr>
              <mc:AlternateContent>
                <mc:Choice Requires="wps">
                  <w:drawing>
                    <wp:anchor distT="0" distB="0" distL="114300" distR="114300" simplePos="0" relativeHeight="251662336" behindDoc="0" locked="0" layoutInCell="1" allowOverlap="1" wp14:anchorId="70DEC3A4" wp14:editId="7D39A3DF">
                      <wp:simplePos x="0" y="0"/>
                      <wp:positionH relativeFrom="column">
                        <wp:posOffset>647874</wp:posOffset>
                      </wp:positionH>
                      <wp:positionV relativeFrom="paragraph">
                        <wp:posOffset>63576</wp:posOffset>
                      </wp:positionV>
                      <wp:extent cx="2181137" cy="0"/>
                      <wp:effectExtent l="0" t="0" r="0" b="0"/>
                      <wp:wrapNone/>
                      <wp:docPr id="563044012" name="Straight Connector 7"/>
                      <wp:cNvGraphicFramePr/>
                      <a:graphic xmlns:a="http://schemas.openxmlformats.org/drawingml/2006/main">
                        <a:graphicData uri="http://schemas.microsoft.com/office/word/2010/wordprocessingShape">
                          <wps:wsp>
                            <wps:cNvCnPr/>
                            <wps:spPr>
                              <a:xfrm>
                                <a:off x="0" y="0"/>
                                <a:ext cx="21811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104995" id="Straight Connector 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1pt,5pt" to="222.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" strokecolor="black [3200]" strokeweight=".5pt">
                      <v:stroke joinstyle="miter"/>
                    </v:line>
                  </w:pict>
                </mc:Fallback>
              </mc:AlternateContent>
            </w:r>
          </w:p>
          <w:p w14:paraId="62B6D84A" w14:textId="5CE7CFBC" w:rsidR="00944AFE" w:rsidRPr="00E24417" w:rsidRDefault="00585200" w:rsidP="007921E1">
            <w:pPr>
              <w:pStyle w:val="Heading3"/>
              <w:keepNext w:val="0"/>
              <w:widowControl w:val="0"/>
              <w:tabs>
                <w:tab w:val="left" w:pos="5091"/>
              </w:tabs>
              <w:spacing w:before="0"/>
              <w:ind w:firstLine="0"/>
            </w:pPr>
            <w:r w:rsidRPr="00E24417">
              <w:rPr>
                <w:noProof/>
              </w:rPr>
              <mc:AlternateContent>
                <mc:Choice Requires="wps">
                  <w:drawing>
                    <wp:anchor distT="0" distB="0" distL="114297" distR="114297" simplePos="0" relativeHeight="251656704" behindDoc="0" locked="0" layoutInCell="1" allowOverlap="1" wp14:anchorId="4134CB9B" wp14:editId="228BE956">
                      <wp:simplePos x="0" y="0"/>
                      <wp:positionH relativeFrom="column">
                        <wp:posOffset>800100</wp:posOffset>
                      </wp:positionH>
                      <wp:positionV relativeFrom="paragraph">
                        <wp:posOffset>25400</wp:posOffset>
                      </wp:positionV>
                      <wp:extent cx="0" cy="12700"/>
                      <wp:effectExtent l="6985" t="15240" r="12065" b="635"/>
                      <wp:wrapNone/>
                      <wp:docPr id="2" name="Hình tự do: Hình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12700"/>
                              </a:xfrm>
                              <a:custGeom>
                                <a:avLst/>
                                <a:gdLst>
                                  <a:gd name="T0" fmla="*/ 0 w 2099310"/>
                                  <a:gd name="T1" fmla="*/ 0 h 1"/>
                                  <a:gd name="T2" fmla="*/ 2099310 w 2099310"/>
                                  <a:gd name="T3" fmla="*/ 0 h 1"/>
                                </a:gdLst>
                                <a:ahLst/>
                                <a:cxnLst>
                                  <a:cxn ang="0">
                                    <a:pos x="T0" y="T1"/>
                                  </a:cxn>
                                  <a:cxn ang="0">
                                    <a:pos x="T2" y="T3"/>
                                  </a:cxn>
                                </a:cxnLst>
                                <a:rect l="0" t="0" r="r" b="b"/>
                                <a:pathLst>
                                  <a:path w="2099310" h="1" extrusionOk="0">
                                    <a:moveTo>
                                      <a:pt x="0" y="0"/>
                                    </a:moveTo>
                                    <a:lnTo>
                                      <a:pt x="2099310" y="0"/>
                                    </a:lnTo>
                                  </a:path>
                                </a:pathLst>
                              </a:custGeom>
                              <a:solidFill>
                                <a:srgbClr val="FFFFFF"/>
                              </a:solidFill>
                              <a:ln w="12700">
                                <a:solidFill>
                                  <a:srgbClr val="000000"/>
                                </a:solidFill>
                                <a:round/>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5B5F012" id="Hình tự do: Hình 2" o:spid="_x0000_s1026" style="position:absolute;margin-left:63pt;margin-top:2pt;width:0;height:1pt;z-index:25165670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v-text-anchor:middle" coordsize="20993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" path="m,l2099310,e" strokeweight="1pt">
                      <v:stroke startarrowwidth="narrow" startarrowlength="short" endarrowwidth="narrow" endarrowlength="short"/>
                      <v:path arrowok="t" o:extrusionok="f" o:connecttype="custom" o:connectlocs="0,0;1,0" o:connectangles="0,0"/>
                    </v:shape>
                  </w:pict>
                </mc:Fallback>
              </mc:AlternateContent>
            </w:r>
            <w:r w:rsidR="003A631E" w:rsidRPr="00E24417">
              <w:t xml:space="preserve">Hà Nội, ngày </w:t>
            </w:r>
            <w:r w:rsidR="00F87A87" w:rsidRPr="00E24417">
              <w:t xml:space="preserve">   </w:t>
            </w:r>
            <w:r w:rsidR="003A631E" w:rsidRPr="00E24417">
              <w:t xml:space="preserve"> tháng </w:t>
            </w:r>
            <w:r w:rsidR="009E0F0D" w:rsidRPr="00E24417">
              <w:rPr>
                <w:lang w:val="vi-VN"/>
              </w:rPr>
              <w:t xml:space="preserve">    </w:t>
            </w:r>
            <w:r w:rsidR="003A631E" w:rsidRPr="00E24417">
              <w:t>năm 202</w:t>
            </w:r>
            <w:r w:rsidR="00823804" w:rsidRPr="00E24417">
              <w:t>6</w:t>
            </w:r>
          </w:p>
        </w:tc>
      </w:tr>
    </w:tbl>
    <w:p w14:paraId="07B0927B" w14:textId="77777777" w:rsidR="008B2BD3" w:rsidRPr="00E24417" w:rsidRDefault="008B2BD3" w:rsidP="007921E1">
      <w:pPr>
        <w:widowControl w:val="0"/>
        <w:pBdr>
          <w:top w:val="nil"/>
          <w:left w:val="nil"/>
          <w:bottom w:val="nil"/>
          <w:right w:val="nil"/>
          <w:between w:val="nil"/>
        </w:pBdr>
        <w:spacing w:before="120"/>
        <w:ind w:firstLine="0"/>
        <w:rPr>
          <w:sz w:val="28"/>
          <w:szCs w:val="28"/>
        </w:rPr>
      </w:pPr>
    </w:p>
    <w:p w14:paraId="6578BC80" w14:textId="77777777" w:rsidR="00C631B8" w:rsidRPr="00E24417" w:rsidRDefault="00C631B8" w:rsidP="007921E1">
      <w:pPr>
        <w:widowControl w:val="0"/>
        <w:pBdr>
          <w:top w:val="nil"/>
          <w:left w:val="nil"/>
          <w:bottom w:val="nil"/>
          <w:right w:val="nil"/>
          <w:between w:val="nil"/>
        </w:pBdr>
        <w:spacing w:before="120"/>
        <w:ind w:firstLine="0"/>
        <w:jc w:val="center"/>
        <w:rPr>
          <w:b/>
          <w:sz w:val="12"/>
          <w:szCs w:val="12"/>
        </w:rPr>
      </w:pPr>
    </w:p>
    <w:p w14:paraId="1BF028CA" w14:textId="65AE2971" w:rsidR="00944AFE" w:rsidRPr="00E24417" w:rsidRDefault="003A631E" w:rsidP="0074696E">
      <w:pPr>
        <w:widowControl w:val="0"/>
        <w:pBdr>
          <w:top w:val="nil"/>
          <w:left w:val="nil"/>
          <w:bottom w:val="nil"/>
          <w:right w:val="nil"/>
          <w:between w:val="nil"/>
        </w:pBdr>
        <w:spacing w:before="120" w:after="120" w:line="264" w:lineRule="auto"/>
        <w:ind w:firstLine="0"/>
        <w:jc w:val="center"/>
        <w:rPr>
          <w:b/>
          <w:sz w:val="28"/>
          <w:szCs w:val="28"/>
        </w:rPr>
      </w:pPr>
      <w:r w:rsidRPr="00E24417">
        <w:rPr>
          <w:b/>
          <w:sz w:val="28"/>
          <w:szCs w:val="28"/>
        </w:rPr>
        <w:t>TỜ TRÌNH</w:t>
      </w:r>
      <w:r w:rsidR="009E4807" w:rsidRPr="00E24417">
        <w:rPr>
          <w:b/>
          <w:sz w:val="28"/>
          <w:szCs w:val="28"/>
        </w:rPr>
        <w:t xml:space="preserve"> </w:t>
      </w:r>
      <w:r w:rsidRPr="00E24417">
        <w:rPr>
          <w:b/>
          <w:sz w:val="28"/>
          <w:szCs w:val="28"/>
        </w:rPr>
        <w:br/>
      </w:r>
      <w:r w:rsidR="00F87A87" w:rsidRPr="00E24417">
        <w:rPr>
          <w:b/>
          <w:spacing w:val="-14"/>
          <w:sz w:val="28"/>
          <w:szCs w:val="28"/>
        </w:rPr>
        <w:t>Chính sách của</w:t>
      </w:r>
      <w:r w:rsidR="00D87CBA" w:rsidRPr="00E24417">
        <w:rPr>
          <w:b/>
          <w:spacing w:val="-14"/>
          <w:sz w:val="28"/>
          <w:szCs w:val="28"/>
        </w:rPr>
        <w:t xml:space="preserve"> </w:t>
      </w:r>
      <w:r w:rsidR="00F87A87" w:rsidRPr="00E24417">
        <w:rPr>
          <w:b/>
          <w:spacing w:val="-14"/>
          <w:sz w:val="28"/>
          <w:szCs w:val="28"/>
        </w:rPr>
        <w:t xml:space="preserve">Dự án </w:t>
      </w:r>
      <w:r w:rsidR="00C631B8" w:rsidRPr="00E24417">
        <w:rPr>
          <w:rFonts w:eastAsia="Yu Gothic"/>
          <w:b/>
          <w:bCs/>
          <w:sz w:val="28"/>
          <w:szCs w:val="28"/>
        </w:rPr>
        <w:t>Luật Giao dịch hàng hóa phái sinh</w:t>
      </w:r>
    </w:p>
    <w:p w14:paraId="6070ABD6" w14:textId="3718117C" w:rsidR="00525655" w:rsidRPr="00E24417" w:rsidRDefault="00525655" w:rsidP="007921E1">
      <w:pPr>
        <w:widowControl w:val="0"/>
        <w:pBdr>
          <w:top w:val="nil"/>
          <w:left w:val="nil"/>
          <w:bottom w:val="nil"/>
          <w:right w:val="nil"/>
          <w:between w:val="nil"/>
        </w:pBdr>
        <w:spacing w:before="120"/>
        <w:ind w:firstLine="0"/>
        <w:jc w:val="center"/>
        <w:rPr>
          <w:sz w:val="28"/>
          <w:szCs w:val="28"/>
          <w:vertAlign w:val="superscript"/>
        </w:rPr>
      </w:pPr>
      <w:r w:rsidRPr="00E24417">
        <w:rPr>
          <w:noProof/>
          <w:sz w:val="28"/>
          <w:szCs w:val="28"/>
          <w:vertAlign w:val="superscript"/>
        </w:rPr>
        <mc:AlternateContent>
          <mc:Choice Requires="wps">
            <w:drawing>
              <wp:anchor distT="0" distB="0" distL="114300" distR="114300" simplePos="0" relativeHeight="251660288" behindDoc="0" locked="0" layoutInCell="1" allowOverlap="1" wp14:anchorId="31638B67" wp14:editId="5E8E577A">
                <wp:simplePos x="0" y="0"/>
                <wp:positionH relativeFrom="column">
                  <wp:posOffset>2321560</wp:posOffset>
                </wp:positionH>
                <wp:positionV relativeFrom="paragraph">
                  <wp:posOffset>91771</wp:posOffset>
                </wp:positionV>
                <wp:extent cx="1041621"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104162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D49512"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2.8pt,7.25pt" to="264.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" strokecolor="black [3200]" strokeweight=".5pt">
                <v:stroke joinstyle="miter"/>
              </v:line>
            </w:pict>
          </mc:Fallback>
        </mc:AlternateContent>
      </w:r>
    </w:p>
    <w:p w14:paraId="5886FFA4" w14:textId="2F97E828" w:rsidR="0077456C" w:rsidRPr="00E24417" w:rsidRDefault="003A631E" w:rsidP="0074696E">
      <w:pPr>
        <w:widowControl w:val="0"/>
        <w:pBdr>
          <w:top w:val="nil"/>
          <w:left w:val="nil"/>
          <w:bottom w:val="nil"/>
          <w:right w:val="nil"/>
          <w:between w:val="nil"/>
        </w:pBdr>
        <w:spacing w:before="360" w:after="360"/>
        <w:ind w:firstLine="0"/>
        <w:jc w:val="center"/>
        <w:rPr>
          <w:sz w:val="28"/>
          <w:szCs w:val="28"/>
        </w:rPr>
      </w:pPr>
      <w:r w:rsidRPr="00E24417">
        <w:rPr>
          <w:sz w:val="28"/>
          <w:szCs w:val="28"/>
        </w:rPr>
        <w:t>Kính gửi:</w:t>
      </w:r>
      <w:r w:rsidR="00F66D3E" w:rsidRPr="00E24417">
        <w:rPr>
          <w:sz w:val="28"/>
          <w:szCs w:val="28"/>
        </w:rPr>
        <w:t xml:space="preserve"> Chính phủ</w:t>
      </w:r>
    </w:p>
    <w:p w14:paraId="05199F74" w14:textId="14929A68" w:rsidR="006A0945" w:rsidRPr="00E24417" w:rsidRDefault="00C631B8" w:rsidP="001F10F9">
      <w:pPr>
        <w:tabs>
          <w:tab w:val="left" w:pos="709"/>
        </w:tabs>
        <w:spacing w:before="120" w:line="264" w:lineRule="auto"/>
        <w:rPr>
          <w:bCs/>
          <w:sz w:val="28"/>
          <w:szCs w:val="28"/>
          <w:lang w:val="pt-BR"/>
        </w:rPr>
      </w:pPr>
      <w:r w:rsidRPr="00E24417">
        <w:rPr>
          <w:bCs/>
          <w:sz w:val="28"/>
          <w:szCs w:val="28"/>
          <w:lang w:val="pt-BR"/>
        </w:rPr>
        <w:t xml:space="preserve">Ngày 06 tháng 02 năm 2026, Ủy ban Thường vụ Quốc hội ban hành Nghị quyết số 119/2026/UBTVQH15 điều chỉnh Chương trình lập pháp năm 2026, theo đó bổ sung dự án Luật Giao dịch hàng hóa phái sinh </w:t>
      </w:r>
      <w:r w:rsidR="00B62867" w:rsidRPr="00E24417">
        <w:rPr>
          <w:bCs/>
          <w:sz w:val="28"/>
          <w:szCs w:val="28"/>
          <w:lang w:val="pt-BR"/>
        </w:rPr>
        <w:t>(sau đây gọi tắt là dự án Luật)</w:t>
      </w:r>
      <w:r w:rsidRPr="00E24417">
        <w:rPr>
          <w:bCs/>
          <w:sz w:val="28"/>
          <w:szCs w:val="28"/>
          <w:lang w:val="pt-BR"/>
        </w:rPr>
        <w:t>vào Chương trình lập pháp năm 2026 trình Quốc hội xem xét, thông qua tại Kỳ họp thứ 2, Quốc hội khóa XVI.</w:t>
      </w:r>
      <w:r w:rsidR="006A0945" w:rsidRPr="00E24417">
        <w:rPr>
          <w:bCs/>
          <w:sz w:val="28"/>
          <w:szCs w:val="28"/>
          <w:lang w:val="pt-BR"/>
        </w:rPr>
        <w:t xml:space="preserve"> Thực hiện quy định của Luật Ban hành văn bản quy phạm pháp luật, Bộ Công Thương kính trình Chính phủ chính sách của Dự án </w:t>
      </w:r>
      <w:r w:rsidR="00A54548" w:rsidRPr="00E24417">
        <w:rPr>
          <w:bCs/>
          <w:sz w:val="28"/>
          <w:szCs w:val="28"/>
          <w:lang w:val="pt-BR"/>
        </w:rPr>
        <w:t xml:space="preserve">Luật </w:t>
      </w:r>
      <w:r w:rsidR="006A0945" w:rsidRPr="00E24417">
        <w:rPr>
          <w:bCs/>
          <w:sz w:val="28"/>
          <w:szCs w:val="28"/>
          <w:lang w:val="pt-BR"/>
        </w:rPr>
        <w:t>như sau:</w:t>
      </w:r>
    </w:p>
    <w:p w14:paraId="493FDC26" w14:textId="77777777" w:rsidR="00F87A87" w:rsidRPr="00E24417" w:rsidRDefault="00F87A87" w:rsidP="001F10F9">
      <w:pPr>
        <w:widowControl w:val="0"/>
        <w:tabs>
          <w:tab w:val="right" w:leader="dot" w:pos="7920"/>
        </w:tabs>
        <w:spacing w:before="120" w:line="264" w:lineRule="auto"/>
        <w:rPr>
          <w:b/>
          <w:sz w:val="28"/>
          <w:szCs w:val="28"/>
          <w:lang w:val="vi-VN"/>
        </w:rPr>
      </w:pPr>
      <w:r w:rsidRPr="00E24417">
        <w:rPr>
          <w:b/>
          <w:sz w:val="28"/>
          <w:szCs w:val="28"/>
          <w:lang w:val="vi-VN"/>
        </w:rPr>
        <w:t>I. SỰ CẦN THIẾT XÂY DỰNG CHÍNH SÁCH</w:t>
      </w:r>
    </w:p>
    <w:p w14:paraId="4CA9BE55" w14:textId="77777777" w:rsidR="00A54548" w:rsidRPr="00E24417" w:rsidRDefault="00A54548" w:rsidP="001F10F9">
      <w:pPr>
        <w:tabs>
          <w:tab w:val="left" w:pos="993"/>
        </w:tabs>
        <w:spacing w:before="120" w:line="264" w:lineRule="auto"/>
        <w:rPr>
          <w:rFonts w:eastAsia="Yu Gothic"/>
          <w:sz w:val="28"/>
          <w:szCs w:val="28"/>
        </w:rPr>
      </w:pPr>
      <w:r w:rsidRPr="00E24417">
        <w:rPr>
          <w:rFonts w:eastAsia="Yu Gothic"/>
          <w:sz w:val="28"/>
          <w:szCs w:val="28"/>
        </w:rPr>
        <w:t>1. Cơ sở chính trị</w:t>
      </w:r>
    </w:p>
    <w:p w14:paraId="26F790CE" w14:textId="573A3FE7" w:rsidR="00A54548" w:rsidRPr="00E24417" w:rsidRDefault="00A54548" w:rsidP="001F10F9">
      <w:pPr>
        <w:tabs>
          <w:tab w:val="left" w:pos="993"/>
        </w:tabs>
        <w:spacing w:before="120" w:line="264" w:lineRule="auto"/>
        <w:rPr>
          <w:spacing w:val="-6"/>
          <w:sz w:val="28"/>
          <w:szCs w:val="28"/>
        </w:rPr>
      </w:pPr>
      <w:r w:rsidRPr="00E24417">
        <w:rPr>
          <w:sz w:val="28"/>
          <w:szCs w:val="28"/>
        </w:rPr>
        <w:t xml:space="preserve">Dự án Luật được đề xuất xây dựng nhằm cụ thể hóa các chủ trương, định hướng lớn của Đảng và Nhà nước về tiếp tục hoàn thiện thể chế, phát triển đồng bộ các loại thị trường trong nền kinh tế </w:t>
      </w:r>
      <w:r w:rsidRPr="00E24417">
        <w:rPr>
          <w:rFonts w:eastAsia="Arial Unicode MS"/>
          <w:spacing w:val="-6"/>
          <w:sz w:val="28"/>
          <w:szCs w:val="28"/>
        </w:rPr>
        <w:t xml:space="preserve">theo hướng văn minh, hiện đại, </w:t>
      </w:r>
      <w:r w:rsidRPr="00E24417">
        <w:rPr>
          <w:spacing w:val="-6"/>
          <w:sz w:val="28"/>
          <w:szCs w:val="28"/>
        </w:rPr>
        <w:t>đáp ứng yêu cầu phát triển và tăng cường hội nhập quốc tế, cụ thể:</w:t>
      </w:r>
    </w:p>
    <w:p w14:paraId="4C3A632E" w14:textId="77777777" w:rsidR="00C518EC" w:rsidRPr="00E24417" w:rsidRDefault="00A54548" w:rsidP="001F10F9">
      <w:pPr>
        <w:pStyle w:val="NormalWeb"/>
        <w:tabs>
          <w:tab w:val="left" w:pos="993"/>
        </w:tabs>
        <w:spacing w:before="120" w:beforeAutospacing="0" w:after="0" w:afterAutospacing="0" w:line="264" w:lineRule="auto"/>
        <w:ind w:firstLine="720"/>
        <w:jc w:val="both"/>
        <w:rPr>
          <w:color w:val="000000"/>
          <w:sz w:val="28"/>
          <w:szCs w:val="28"/>
        </w:rPr>
      </w:pPr>
      <w:r w:rsidRPr="00E24417">
        <w:rPr>
          <w:color w:val="000000"/>
          <w:sz w:val="28"/>
          <w:szCs w:val="28"/>
        </w:rPr>
        <w:t xml:space="preserve">- </w:t>
      </w:r>
      <w:r w:rsidR="00C518EC" w:rsidRPr="00E24417">
        <w:rPr>
          <w:color w:val="000000"/>
          <w:sz w:val="28"/>
          <w:szCs w:val="28"/>
        </w:rPr>
        <w:t>Nghị quyết</w:t>
      </w:r>
      <w:r w:rsidRPr="00E24417">
        <w:rPr>
          <w:color w:val="000000"/>
          <w:sz w:val="28"/>
          <w:szCs w:val="28"/>
        </w:rPr>
        <w:t xml:space="preserve"> Đại hội XIV của Đảng xác định</w:t>
      </w:r>
      <w:r w:rsidR="00C518EC" w:rsidRPr="00E24417">
        <w:rPr>
          <w:color w:val="000000"/>
          <w:sz w:val="28"/>
          <w:szCs w:val="28"/>
        </w:rPr>
        <w:t xml:space="preserve"> nhiệm vụ trọng tâm</w:t>
      </w:r>
      <w:r w:rsidRPr="00E24417">
        <w:rPr>
          <w:color w:val="000000"/>
          <w:sz w:val="28"/>
          <w:szCs w:val="28"/>
        </w:rPr>
        <w:t xml:space="preserve">: </w:t>
      </w:r>
      <w:r w:rsidR="00C518EC" w:rsidRPr="00E24417">
        <w:rPr>
          <w:color w:val="000000"/>
          <w:sz w:val="28"/>
          <w:szCs w:val="28"/>
        </w:rPr>
        <w:t>Tập trung ưu tiên xây dựng đồng bộ thể chế phát triển, trọng tâm là hệ thống pháp luật, cơ chế, chính sách nhằm tháo gỡ kịp thời, dứt điểm các nút thắt, điểm nghẽn, thúc đẩy đổi mới sáng tạo, bảo đảm sự đồng bộ, hài hoà giữa tăng trưởng và phát triển; giữa kinh tế, xã hội, môi trường với quốc phòng, an ninh, đối ngoại; giữa đổi mới, hoàn thiện thể chế với các chuyển đổi trọng tâm, toàn diện trên mọi lĩnh vực, phù hợp với mô hình chính quyền 3 cấp, đáp ứng yêu cầu phát triển nhanh, bền vững đất nước trong kỷ nguyên mới.</w:t>
      </w:r>
    </w:p>
    <w:p w14:paraId="027B0515" w14:textId="2922F930" w:rsidR="00A54548" w:rsidRPr="00E24417" w:rsidRDefault="00C518EC" w:rsidP="001F10F9">
      <w:pPr>
        <w:pStyle w:val="NormalWeb"/>
        <w:tabs>
          <w:tab w:val="left" w:pos="993"/>
        </w:tabs>
        <w:spacing w:before="120" w:beforeAutospacing="0" w:after="0" w:afterAutospacing="0" w:line="264" w:lineRule="auto"/>
        <w:ind w:firstLine="720"/>
        <w:jc w:val="both"/>
        <w:rPr>
          <w:color w:val="000000"/>
          <w:sz w:val="28"/>
          <w:szCs w:val="28"/>
        </w:rPr>
      </w:pPr>
      <w:r w:rsidRPr="00E24417">
        <w:rPr>
          <w:color w:val="000000"/>
          <w:sz w:val="28"/>
          <w:szCs w:val="28"/>
          <w:lang w:eastAsia="vi-VN"/>
        </w:rPr>
        <w:t>Định hướng phát triển đất nước giai đoạn 2026-2030: “</w:t>
      </w:r>
      <w:r w:rsidRPr="00E24417">
        <w:rPr>
          <w:i/>
          <w:iCs/>
          <w:color w:val="000000"/>
          <w:sz w:val="28"/>
          <w:szCs w:val="28"/>
          <w:lang w:eastAsia="vi-VN"/>
        </w:rPr>
        <w:t xml:space="preserve">Xác lập mô hình tăng trưởng mới với mục tiêu nâng cao năng suất, chất lượng, hiệu quả, giá trị gia tăng và sức cạnh tranh của nền kinh tế; lấy khoa học, công nghệ, đổi mới sáng tạo và chuyển đổi số làm động lực chính; tạo ra sức sản xuất và phương thức sản xuất mới chất lượng cao, trọng tâm là kinh tế dữ liệu, kinh tế số, kinh tế xanh, kinh tế tuần hoàn; đẩy mạnh chuyển đổi số, chuyển đổi xanh, chuyển đổi năng </w:t>
      </w:r>
      <w:r w:rsidRPr="00E24417">
        <w:rPr>
          <w:i/>
          <w:iCs/>
          <w:color w:val="000000"/>
          <w:sz w:val="28"/>
          <w:szCs w:val="28"/>
          <w:lang w:eastAsia="vi-VN"/>
        </w:rPr>
        <w:lastRenderedPageBreak/>
        <w:t>lượng, chuyển đổi cơ cấu và chất lượng nguồn nhân lực”</w:t>
      </w:r>
      <w:r w:rsidR="00CB2572" w:rsidRPr="00E24417">
        <w:rPr>
          <w:color w:val="000000"/>
          <w:sz w:val="28"/>
          <w:szCs w:val="28"/>
          <w:lang w:eastAsia="vi-VN"/>
        </w:rPr>
        <w:t xml:space="preserve"> đặt ra yêu cầu cấp thiết </w:t>
      </w:r>
      <w:r w:rsidR="00CB2572" w:rsidRPr="00E24417">
        <w:rPr>
          <w:color w:val="000000"/>
          <w:spacing w:val="-4"/>
          <w:sz w:val="28"/>
          <w:szCs w:val="28"/>
          <w:lang w:eastAsia="vi-VN"/>
        </w:rPr>
        <w:t>phải phát triển các công cụ thị trường hiện đại, trong đó có thị trường giao dịch hàng hóa phái sinh nhằm nâng cao hiệu quả phân bổ nguồn lực và phòng ngừa rủi ro.</w:t>
      </w:r>
    </w:p>
    <w:p w14:paraId="447EACBA" w14:textId="059872EB" w:rsidR="00A54548" w:rsidRPr="00E24417" w:rsidRDefault="00A54548" w:rsidP="001F10F9">
      <w:pPr>
        <w:pStyle w:val="NormalWeb"/>
        <w:tabs>
          <w:tab w:val="left" w:pos="993"/>
        </w:tabs>
        <w:spacing w:before="120" w:beforeAutospacing="0" w:after="0" w:afterAutospacing="0" w:line="264" w:lineRule="auto"/>
        <w:ind w:firstLine="720"/>
        <w:jc w:val="both"/>
        <w:rPr>
          <w:color w:val="000000"/>
          <w:sz w:val="28"/>
          <w:szCs w:val="28"/>
        </w:rPr>
      </w:pPr>
      <w:r w:rsidRPr="00E24417">
        <w:rPr>
          <w:color w:val="000000"/>
          <w:sz w:val="28"/>
          <w:szCs w:val="28"/>
        </w:rPr>
        <w:t>- Văn kiện Đại hội XIII của Đảng và Chiến lược phát triển kinh tế - xã hội giai đoạn 2021-2030 khẳng định chủ trương “</w:t>
      </w:r>
      <w:r w:rsidRPr="00E24417">
        <w:rPr>
          <w:i/>
          <w:iCs/>
          <w:color w:val="000000"/>
          <w:sz w:val="28"/>
          <w:szCs w:val="28"/>
        </w:rPr>
        <w:t>Xây dựng, hoàn thiện đồng bộ thể chế phát triển nền kinh tế thị trường định hướng xã hội chủ nghĩa</w:t>
      </w:r>
      <w:r w:rsidRPr="00E24417">
        <w:rPr>
          <w:i/>
          <w:color w:val="000000"/>
          <w:sz w:val="28"/>
          <w:szCs w:val="28"/>
          <w:bdr w:val="none" w:sz="0" w:space="0" w:color="auto" w:frame="1"/>
        </w:rPr>
        <w:t xml:space="preserve"> đầy đủ, hiện đại, hội nhập.”. </w:t>
      </w:r>
      <w:r w:rsidRPr="00E24417">
        <w:rPr>
          <w:color w:val="000000"/>
          <w:sz w:val="28"/>
          <w:szCs w:val="28"/>
          <w:bdr w:val="none" w:sz="0" w:space="0" w:color="auto" w:frame="1"/>
        </w:rPr>
        <w:t>Theo đó, một số nhiệm vụ, giải pháp đặt ra cho thời kỳ này liên quan đến phát triển thị trường hàng hóa, dịch vụ gồm có: “</w:t>
      </w:r>
      <w:r w:rsidRPr="00E24417">
        <w:rPr>
          <w:i/>
          <w:color w:val="000000"/>
          <w:sz w:val="28"/>
          <w:szCs w:val="28"/>
          <w:lang w:val="vi-VN"/>
        </w:rPr>
        <w:t>Tiếp tục hoàn thiện thể chế, phát triển đầy đủ, đồng bộ các yếu tố thị trường, các loại thị trường</w:t>
      </w:r>
      <w:r w:rsidRPr="00E24417">
        <w:rPr>
          <w:i/>
          <w:color w:val="000000"/>
          <w:sz w:val="28"/>
          <w:szCs w:val="28"/>
        </w:rPr>
        <w:t>”; “</w:t>
      </w:r>
      <w:r w:rsidRPr="00E24417">
        <w:rPr>
          <w:rFonts w:eastAsia="Arial Unicode MS"/>
          <w:i/>
          <w:color w:val="000000"/>
          <w:sz w:val="28"/>
          <w:szCs w:val="28"/>
          <w:lang w:val="vi-VN" w:eastAsia="vi-VN"/>
        </w:rPr>
        <w:t>Phát triển thị trường hàng hoá, dịch vụ theo các phương thức tổ chức, giao dịch văn minh, hiện đại</w:t>
      </w:r>
      <w:r w:rsidRPr="00E24417">
        <w:rPr>
          <w:rFonts w:eastAsia="Arial Unicode MS"/>
          <w:i/>
          <w:color w:val="000000"/>
          <w:sz w:val="28"/>
          <w:szCs w:val="28"/>
        </w:rPr>
        <w:t>, thương mại điện tử</w:t>
      </w:r>
      <w:r w:rsidRPr="00E24417">
        <w:rPr>
          <w:rFonts w:eastAsia="Arial Unicode MS"/>
          <w:i/>
          <w:color w:val="000000"/>
          <w:sz w:val="28"/>
          <w:szCs w:val="28"/>
          <w:lang w:val="vi-VN" w:eastAsia="vi-VN"/>
        </w:rPr>
        <w:t>.</w:t>
      </w:r>
      <w:r w:rsidRPr="00E24417">
        <w:rPr>
          <w:rFonts w:eastAsia="Arial Unicode MS"/>
          <w:i/>
          <w:color w:val="000000"/>
          <w:sz w:val="28"/>
          <w:szCs w:val="28"/>
          <w:lang w:eastAsia="vi-VN"/>
        </w:rPr>
        <w:t>”;</w:t>
      </w:r>
    </w:p>
    <w:p w14:paraId="4AB53AF5" w14:textId="77777777" w:rsidR="00A54548" w:rsidRPr="00E24417" w:rsidRDefault="00A54548" w:rsidP="001F10F9">
      <w:pPr>
        <w:pStyle w:val="NormalWeb"/>
        <w:shd w:val="clear" w:color="auto" w:fill="FFFFFF"/>
        <w:tabs>
          <w:tab w:val="left" w:pos="993"/>
        </w:tabs>
        <w:spacing w:before="120" w:beforeAutospacing="0" w:after="0" w:afterAutospacing="0" w:line="264" w:lineRule="auto"/>
        <w:ind w:firstLine="720"/>
        <w:jc w:val="both"/>
        <w:rPr>
          <w:color w:val="000000"/>
          <w:sz w:val="28"/>
          <w:szCs w:val="28"/>
        </w:rPr>
      </w:pPr>
      <w:r w:rsidRPr="00E24417">
        <w:rPr>
          <w:color w:val="000000"/>
          <w:sz w:val="28"/>
          <w:szCs w:val="28"/>
        </w:rPr>
        <w:t>- Nghị quyết số 11-NQ/TW ngày 03 tháng 6 năm 2017 của Hội nghị Trung ương 5 khóa XII về hoàn thiện thể chế kinh tế thị trường định hướng xã hội chủ nghĩa đặt ra nhiệm vụ và giải pháp chủ yếu về h</w:t>
      </w:r>
      <w:r w:rsidRPr="00E24417">
        <w:rPr>
          <w:bCs/>
          <w:iCs/>
          <w:color w:val="000000"/>
          <w:sz w:val="28"/>
          <w:szCs w:val="28"/>
        </w:rPr>
        <w:t>oàn thiện thể chế để phát triển đồng bộ, vận hành thông suốt các thị trường:</w:t>
      </w:r>
      <w:r w:rsidRPr="00E24417">
        <w:rPr>
          <w:b/>
          <w:bCs/>
          <w:i/>
          <w:iCs/>
          <w:color w:val="000000"/>
          <w:sz w:val="28"/>
          <w:szCs w:val="28"/>
        </w:rPr>
        <w:t xml:space="preserve"> </w:t>
      </w:r>
      <w:r w:rsidRPr="00E24417">
        <w:rPr>
          <w:bCs/>
          <w:i/>
          <w:iCs/>
          <w:color w:val="000000"/>
          <w:sz w:val="28"/>
          <w:szCs w:val="28"/>
        </w:rPr>
        <w:t>“</w:t>
      </w:r>
      <w:r w:rsidRPr="00E24417">
        <w:rPr>
          <w:i/>
          <w:color w:val="000000"/>
          <w:sz w:val="28"/>
          <w:szCs w:val="28"/>
        </w:rPr>
        <w:t>Đẩy mạnh phát triển thị trường hàng hóa, dịch vụ, gồm cả thị trường xuất, nhập khẩu, thị trường trong nước và biên mậu; phát triển hạ tầng thương mại. Thực hiện hiệu quả các cam kết quốc tế. Phát triển mạnh các phương thức giao dịch thị trường hiện đại.”;</w:t>
      </w:r>
    </w:p>
    <w:p w14:paraId="25A39C40" w14:textId="77777777" w:rsidR="00A54548" w:rsidRPr="00E24417" w:rsidRDefault="00A54548" w:rsidP="001F10F9">
      <w:pPr>
        <w:tabs>
          <w:tab w:val="left" w:pos="993"/>
        </w:tabs>
        <w:spacing w:before="120" w:line="264" w:lineRule="auto"/>
        <w:rPr>
          <w:i/>
          <w:sz w:val="28"/>
          <w:szCs w:val="28"/>
          <w:shd w:val="clear" w:color="auto" w:fill="FFFFFF"/>
        </w:rPr>
      </w:pPr>
      <w:r w:rsidRPr="00E24417">
        <w:rPr>
          <w:sz w:val="28"/>
          <w:szCs w:val="28"/>
        </w:rPr>
        <w:t xml:space="preserve">- Nghị quyết số 29-NQ/TW ngày 17 tháng 11 năm 2022 của Hội nghị Trung ương 6 khóa XIII về tiếp tục đẩy mạnh công nghiệp hóa, hiện đại hóa đất nước đến năm 2030, tầm nhìn đến năm 2045 nêu nhiệm vụ, giải pháp chủ yếu: </w:t>
      </w:r>
      <w:r w:rsidRPr="00E24417">
        <w:rPr>
          <w:i/>
          <w:sz w:val="28"/>
          <w:szCs w:val="28"/>
        </w:rPr>
        <w:t>“</w:t>
      </w:r>
      <w:r w:rsidRPr="00E24417">
        <w:rPr>
          <w:i/>
          <w:sz w:val="28"/>
          <w:szCs w:val="28"/>
          <w:shd w:val="clear" w:color="auto" w:fill="FFFFFF"/>
        </w:rPr>
        <w:t>Rà soát, hoàn thiện luật chuyên ngành về du lịch, thương mại, đường sắt, bưu chính, công nghệ thông tin, viễn thông và các luật có liên quan;”.</w:t>
      </w:r>
    </w:p>
    <w:p w14:paraId="10AE1586" w14:textId="34454B79" w:rsidR="00A54548" w:rsidRPr="00E24417" w:rsidRDefault="00A54548" w:rsidP="001F10F9">
      <w:pPr>
        <w:tabs>
          <w:tab w:val="left" w:pos="993"/>
        </w:tabs>
        <w:spacing w:before="120" w:line="264" w:lineRule="auto"/>
        <w:rPr>
          <w:sz w:val="28"/>
          <w:szCs w:val="28"/>
        </w:rPr>
      </w:pPr>
      <w:r w:rsidRPr="00E24417">
        <w:rPr>
          <w:sz w:val="28"/>
          <w:szCs w:val="28"/>
        </w:rPr>
        <w:t>- Bốn Nghị quyết trụ cột mang tính đột phá</w:t>
      </w:r>
      <w:r w:rsidR="00915FD5" w:rsidRPr="00E24417">
        <w:rPr>
          <w:sz w:val="28"/>
          <w:szCs w:val="28"/>
        </w:rPr>
        <w:t xml:space="preserve"> của Bộ Chính trị</w:t>
      </w:r>
      <w:r w:rsidRPr="00E24417">
        <w:rPr>
          <w:sz w:val="28"/>
          <w:szCs w:val="28"/>
        </w:rPr>
        <w:t>, là định hướng quan trọng để đưa đất nước phát triển trong kỷ nguyên mới, đặc biệt là chủ trương về chuyển đổi số trong quản lý nhà nước, trong đó có lĩnh vực thương mại: (i) Nghị quyết số 57-NQ/TW ngày 22 tháng 12 năm 2024 về đột phá phát triển khoa học, công nghệ, đổi mới sáng tạo và chuyển đổi số quốc gia; (ii) Nghị quyết số 59-NQ/TW ngày 24 tháng 01 năm 2025về hội nhập quốc tế trong tình hình mới; (iii) Nghị quyết số 66-NQ/TW ngày 30 tháng 4 năm 2025 về đổi mới công tác xây dựng và thi hành pháp luật đáp ứng yêu cầu phát triển đất nước trong kỷ nguyên mới; (iv) Nghị quyết số 68-NQ/TW ngày 04 tháng 5 năm 2025 về phát triển kinh tế tư nhân.</w:t>
      </w:r>
    </w:p>
    <w:p w14:paraId="017C7A18" w14:textId="77777777" w:rsidR="00A54548" w:rsidRPr="00E24417" w:rsidRDefault="00A54548" w:rsidP="001F10F9">
      <w:pPr>
        <w:tabs>
          <w:tab w:val="left" w:pos="993"/>
        </w:tabs>
        <w:spacing w:before="120" w:line="264" w:lineRule="auto"/>
        <w:rPr>
          <w:sz w:val="28"/>
          <w:szCs w:val="28"/>
        </w:rPr>
      </w:pPr>
      <w:r w:rsidRPr="00E24417">
        <w:rPr>
          <w:bCs/>
          <w:sz w:val="28"/>
          <w:szCs w:val="28"/>
        </w:rPr>
        <w:t xml:space="preserve">- Nghị quyết số 31/2021/QH15 ngày 12 tháng 11 năm 2021 của Quốc hội nhấn mạnh nhiệm vụ trọng tâm cơ cấu lại nền kinh tế: </w:t>
      </w:r>
      <w:r w:rsidRPr="00E24417">
        <w:rPr>
          <w:bCs/>
          <w:i/>
          <w:sz w:val="28"/>
          <w:szCs w:val="28"/>
        </w:rPr>
        <w:t>“</w:t>
      </w:r>
      <w:r w:rsidRPr="00E24417">
        <w:rPr>
          <w:i/>
          <w:sz w:val="28"/>
          <w:szCs w:val="28"/>
        </w:rPr>
        <w:t>Hình thành khung pháp luật về phát triển thị trường trao đổi tín chỉ các-bon, sàn giao dịch dựa trên công nghệ chuỗi khối (blockchain) để thúc đẩy phát triển dịch vụ sinh thái và thúc đẩy phục hồi các hệ sinh thái và đa dạng sinh học.”</w:t>
      </w:r>
      <w:r w:rsidRPr="00E24417">
        <w:rPr>
          <w:sz w:val="28"/>
          <w:szCs w:val="28"/>
        </w:rPr>
        <w:t>.</w:t>
      </w:r>
    </w:p>
    <w:p w14:paraId="1F6497FA" w14:textId="20B65F2A" w:rsidR="00A54548" w:rsidRPr="00E24417" w:rsidRDefault="00A54548" w:rsidP="001F10F9">
      <w:pPr>
        <w:tabs>
          <w:tab w:val="left" w:pos="993"/>
        </w:tabs>
        <w:spacing w:before="120" w:line="264" w:lineRule="auto"/>
        <w:rPr>
          <w:sz w:val="28"/>
          <w:szCs w:val="28"/>
        </w:rPr>
      </w:pPr>
      <w:r w:rsidRPr="00E24417">
        <w:rPr>
          <w:sz w:val="28"/>
          <w:szCs w:val="28"/>
        </w:rPr>
        <w:lastRenderedPageBreak/>
        <w:t>Các chủ trương lớn nêu trên là những định hướng, chỉ đạo quan trọng, đặt ra yêu cầu phải tiếp tục hoàn thiện thể chế để phát triển thị trường hàng hoá, dịch vụ theo</w:t>
      </w:r>
      <w:r w:rsidR="00D34F0C" w:rsidRPr="00E24417">
        <w:rPr>
          <w:sz w:val="28"/>
          <w:szCs w:val="28"/>
        </w:rPr>
        <w:t xml:space="preserve"> hướng</w:t>
      </w:r>
      <w:r w:rsidRPr="00E24417">
        <w:rPr>
          <w:sz w:val="28"/>
          <w:szCs w:val="28"/>
        </w:rPr>
        <w:t xml:space="preserve"> văn minh, hiện đại, đáp ứng yêu cầu phát triển của nền kinh tế và tăng cường hội nhập quốc tế.</w:t>
      </w:r>
    </w:p>
    <w:p w14:paraId="71272092" w14:textId="77777777" w:rsidR="00A54548" w:rsidRPr="00E24417" w:rsidRDefault="00A54548" w:rsidP="001F10F9">
      <w:pPr>
        <w:tabs>
          <w:tab w:val="left" w:pos="993"/>
        </w:tabs>
        <w:spacing w:before="120" w:line="264" w:lineRule="auto"/>
        <w:rPr>
          <w:bCs/>
          <w:sz w:val="28"/>
          <w:szCs w:val="28"/>
        </w:rPr>
      </w:pPr>
      <w:r w:rsidRPr="00E24417">
        <w:rPr>
          <w:bCs/>
          <w:sz w:val="28"/>
          <w:szCs w:val="28"/>
        </w:rPr>
        <w:t>2. Cơ sở pháp lý</w:t>
      </w:r>
    </w:p>
    <w:p w14:paraId="7B825A28" w14:textId="5905FE0E" w:rsidR="00616CCA" w:rsidRPr="00E24417" w:rsidRDefault="00616CCA" w:rsidP="001F10F9">
      <w:pPr>
        <w:tabs>
          <w:tab w:val="left" w:pos="993"/>
        </w:tabs>
        <w:spacing w:before="120" w:line="264" w:lineRule="auto"/>
        <w:rPr>
          <w:bCs/>
          <w:sz w:val="28"/>
          <w:szCs w:val="28"/>
        </w:rPr>
      </w:pPr>
      <w:r w:rsidRPr="00E24417">
        <w:rPr>
          <w:bCs/>
          <w:sz w:val="28"/>
          <w:szCs w:val="28"/>
        </w:rPr>
        <w:t>Qua rà soát 2</w:t>
      </w:r>
      <w:r w:rsidR="0041099A" w:rsidRPr="00E24417">
        <w:rPr>
          <w:bCs/>
          <w:sz w:val="28"/>
          <w:szCs w:val="28"/>
        </w:rPr>
        <w:t>9</w:t>
      </w:r>
      <w:r w:rsidRPr="00E24417">
        <w:rPr>
          <w:bCs/>
          <w:sz w:val="28"/>
          <w:szCs w:val="28"/>
        </w:rPr>
        <w:t xml:space="preserve"> văn bản quy phạm pháp luật có liên quan (gồm 1</w:t>
      </w:r>
      <w:r w:rsidR="0041099A" w:rsidRPr="00E24417">
        <w:rPr>
          <w:bCs/>
          <w:sz w:val="28"/>
          <w:szCs w:val="28"/>
        </w:rPr>
        <w:t>9</w:t>
      </w:r>
      <w:r w:rsidRPr="00E24417">
        <w:rPr>
          <w:bCs/>
          <w:sz w:val="28"/>
          <w:szCs w:val="28"/>
        </w:rPr>
        <w:t xml:space="preserve"> Luật, 01 Nghị quyết của Quốc hội, 01 Pháp lệnh của Ủy ban Thường vụ Quốc hội, 03 Nghị định và 05 Thông tư), cho thấy hệ thống pháp luật hiện hành đã bước đầu điều chỉnh các khía cạnh của hoạt động giao dịch hàng hóa phái sinh, bảo đảm cơ sở pháp lý cho việc hình thành và vận hành thị trường.</w:t>
      </w:r>
    </w:p>
    <w:p w14:paraId="5667ABB8" w14:textId="53214822" w:rsidR="00616CCA" w:rsidRPr="00E24417" w:rsidRDefault="00616CCA" w:rsidP="001F10F9">
      <w:pPr>
        <w:tabs>
          <w:tab w:val="left" w:pos="993"/>
        </w:tabs>
        <w:spacing w:before="120" w:line="264" w:lineRule="auto"/>
        <w:rPr>
          <w:bCs/>
          <w:sz w:val="28"/>
          <w:szCs w:val="28"/>
        </w:rPr>
      </w:pPr>
      <w:r w:rsidRPr="00E24417">
        <w:rPr>
          <w:bCs/>
          <w:sz w:val="28"/>
          <w:szCs w:val="28"/>
        </w:rPr>
        <w:t>Cụ thể, các văn bản được chia thành các nhóm như sau:</w:t>
      </w:r>
    </w:p>
    <w:p w14:paraId="36792757" w14:textId="4F9D81DF" w:rsidR="00616CCA" w:rsidRPr="00E24417" w:rsidRDefault="00616CCA" w:rsidP="001F10F9">
      <w:pPr>
        <w:tabs>
          <w:tab w:val="left" w:pos="993"/>
        </w:tabs>
        <w:spacing w:before="120" w:line="264" w:lineRule="auto"/>
        <w:rPr>
          <w:bCs/>
          <w:sz w:val="28"/>
          <w:szCs w:val="28"/>
        </w:rPr>
      </w:pPr>
      <w:r w:rsidRPr="00E24417">
        <w:rPr>
          <w:b/>
          <w:sz w:val="28"/>
          <w:szCs w:val="28"/>
        </w:rPr>
        <w:t>(i) Nhóm pháp luật về thương mại, thị trường và tài sản cơ sở gồm</w:t>
      </w:r>
      <w:r w:rsidRPr="00E24417">
        <w:rPr>
          <w:bCs/>
          <w:sz w:val="28"/>
          <w:szCs w:val="28"/>
        </w:rPr>
        <w:t xml:space="preserve">: Luật Thương mại </w:t>
      </w:r>
      <w:r w:rsidR="000D5C2D" w:rsidRPr="00E24417">
        <w:rPr>
          <w:bCs/>
          <w:sz w:val="28"/>
          <w:szCs w:val="28"/>
        </w:rPr>
        <w:t xml:space="preserve">năm </w:t>
      </w:r>
      <w:r w:rsidRPr="00E24417">
        <w:rPr>
          <w:bCs/>
          <w:sz w:val="28"/>
          <w:szCs w:val="28"/>
        </w:rPr>
        <w:t xml:space="preserve">2005; Luật Quản lý ngoại thương </w:t>
      </w:r>
      <w:r w:rsidR="000D5C2D" w:rsidRPr="00E24417">
        <w:rPr>
          <w:bCs/>
          <w:sz w:val="28"/>
          <w:szCs w:val="28"/>
        </w:rPr>
        <w:t xml:space="preserve">năm </w:t>
      </w:r>
      <w:r w:rsidRPr="00E24417">
        <w:rPr>
          <w:bCs/>
          <w:sz w:val="28"/>
          <w:szCs w:val="28"/>
        </w:rPr>
        <w:t xml:space="preserve">2017; Luật Thương mại điện tử </w:t>
      </w:r>
      <w:r w:rsidR="000D5C2D" w:rsidRPr="00E24417">
        <w:rPr>
          <w:bCs/>
          <w:sz w:val="28"/>
          <w:szCs w:val="28"/>
        </w:rPr>
        <w:t xml:space="preserve">năm </w:t>
      </w:r>
      <w:r w:rsidRPr="00E24417">
        <w:rPr>
          <w:bCs/>
          <w:sz w:val="28"/>
          <w:szCs w:val="28"/>
        </w:rPr>
        <w:t xml:space="preserve">2025; Luật Điện lực </w:t>
      </w:r>
      <w:r w:rsidR="000D5C2D" w:rsidRPr="00E24417">
        <w:rPr>
          <w:bCs/>
          <w:sz w:val="28"/>
          <w:szCs w:val="28"/>
        </w:rPr>
        <w:t xml:space="preserve">năm </w:t>
      </w:r>
      <w:r w:rsidRPr="00E24417">
        <w:rPr>
          <w:bCs/>
          <w:sz w:val="28"/>
          <w:szCs w:val="28"/>
        </w:rPr>
        <w:t>2024. Nhóm văn bản này điều chỉnh hoạt động mua bán hàng hóa, xuất nhập khẩu và giao dịch thương mại, là cơ sở pháp lý xác định hàng hóa làm tài sản cơ sở của giao dịch phái sinh. Tuy nhiên, các quy định hiện hành mới dừng ở mức khung, chưa định danh đầy đủ các công cụ phái sinh, chưa phân định rõ giữa giao dịch hàng hóa vật chất và giao dịch phái sinh, đồng thời thiếu quy định đặc thù đối với giao dịch điện tử theo thời gian thực và giao dịch xuyên biên giới.</w:t>
      </w:r>
    </w:p>
    <w:p w14:paraId="1767A806" w14:textId="39513975" w:rsidR="00616CCA" w:rsidRPr="00E24417" w:rsidRDefault="00616CCA" w:rsidP="001F10F9">
      <w:pPr>
        <w:tabs>
          <w:tab w:val="left" w:pos="993"/>
        </w:tabs>
        <w:spacing w:before="120" w:line="264" w:lineRule="auto"/>
        <w:rPr>
          <w:bCs/>
          <w:sz w:val="28"/>
          <w:szCs w:val="28"/>
        </w:rPr>
      </w:pPr>
      <w:r w:rsidRPr="00E24417">
        <w:rPr>
          <w:b/>
          <w:sz w:val="28"/>
          <w:szCs w:val="28"/>
        </w:rPr>
        <w:t>(ii) Nhóm pháp luật về tổ chức và chủ thể tham gia thị trường gồm:</w:t>
      </w:r>
      <w:r w:rsidRPr="00E24417">
        <w:rPr>
          <w:bCs/>
          <w:sz w:val="28"/>
          <w:szCs w:val="28"/>
        </w:rPr>
        <w:t xml:space="preserve"> Luật Doanh nghiệp </w:t>
      </w:r>
      <w:r w:rsidR="000D5C2D" w:rsidRPr="00E24417">
        <w:rPr>
          <w:bCs/>
          <w:sz w:val="28"/>
          <w:szCs w:val="28"/>
        </w:rPr>
        <w:t xml:space="preserve">năm </w:t>
      </w:r>
      <w:r w:rsidRPr="00E24417">
        <w:rPr>
          <w:bCs/>
          <w:sz w:val="28"/>
          <w:szCs w:val="28"/>
        </w:rPr>
        <w:t xml:space="preserve">2020 (được sửa đổi, bổ sung năm 2025); Luật Đầu tư </w:t>
      </w:r>
      <w:r w:rsidR="000D5C2D" w:rsidRPr="00E24417">
        <w:rPr>
          <w:bCs/>
          <w:sz w:val="28"/>
          <w:szCs w:val="28"/>
        </w:rPr>
        <w:t xml:space="preserve">năm </w:t>
      </w:r>
      <w:r w:rsidRPr="00E24417">
        <w:rPr>
          <w:bCs/>
          <w:sz w:val="28"/>
          <w:szCs w:val="28"/>
        </w:rPr>
        <w:t xml:space="preserve">2025. Nhóm văn bản này quy định về tư cách pháp lý, tổ chức và điều kiện hoạt động của các chủ thể tham gia thị trường. Tuy nhiên, chưa có quy định đầy đủ đối với các thiết chế cốt lõi của thị trường phái sinh hiện đại như </w:t>
      </w:r>
      <w:r w:rsidR="000D5C2D" w:rsidRPr="00E24417">
        <w:rPr>
          <w:bCs/>
          <w:sz w:val="28"/>
          <w:szCs w:val="28"/>
        </w:rPr>
        <w:t>T</w:t>
      </w:r>
      <w:r w:rsidRPr="00E24417">
        <w:rPr>
          <w:bCs/>
          <w:sz w:val="28"/>
          <w:szCs w:val="28"/>
        </w:rPr>
        <w:t>rung tâm thanh toán bù trừ (CCP), thành viên bù trừ, nhà tạo lập thị trường, cũng như các yêu cầu về vốn, quản trị rủi ro và hạ tầng công nghệ.</w:t>
      </w:r>
    </w:p>
    <w:p w14:paraId="36F79082" w14:textId="060D6A76" w:rsidR="00616CCA" w:rsidRPr="00E24417" w:rsidRDefault="00616CCA" w:rsidP="001F10F9">
      <w:pPr>
        <w:tabs>
          <w:tab w:val="left" w:pos="993"/>
        </w:tabs>
        <w:spacing w:before="120" w:line="264" w:lineRule="auto"/>
        <w:rPr>
          <w:bCs/>
          <w:sz w:val="28"/>
          <w:szCs w:val="28"/>
        </w:rPr>
      </w:pPr>
      <w:r w:rsidRPr="00E24417">
        <w:rPr>
          <w:b/>
          <w:sz w:val="28"/>
          <w:szCs w:val="28"/>
        </w:rPr>
        <w:t>(iii) Nhóm pháp luật về tài chính, ngân hàng và chứng khoán gồm:</w:t>
      </w:r>
      <w:r w:rsidRPr="00E24417">
        <w:rPr>
          <w:bCs/>
          <w:sz w:val="28"/>
          <w:szCs w:val="28"/>
        </w:rPr>
        <w:t xml:space="preserve"> Luật Chứng khoán </w:t>
      </w:r>
      <w:r w:rsidR="000D5C2D" w:rsidRPr="00E24417">
        <w:rPr>
          <w:bCs/>
          <w:sz w:val="28"/>
          <w:szCs w:val="28"/>
        </w:rPr>
        <w:t xml:space="preserve">năm </w:t>
      </w:r>
      <w:r w:rsidRPr="00E24417">
        <w:rPr>
          <w:bCs/>
          <w:sz w:val="28"/>
          <w:szCs w:val="28"/>
        </w:rPr>
        <w:t xml:space="preserve">2019; Luật Các tổ chức tín dụng </w:t>
      </w:r>
      <w:r w:rsidR="000D5C2D" w:rsidRPr="00E24417">
        <w:rPr>
          <w:bCs/>
          <w:sz w:val="28"/>
          <w:szCs w:val="28"/>
        </w:rPr>
        <w:t xml:space="preserve">năm </w:t>
      </w:r>
      <w:r w:rsidRPr="00E24417">
        <w:rPr>
          <w:bCs/>
          <w:sz w:val="28"/>
          <w:szCs w:val="28"/>
        </w:rPr>
        <w:t xml:space="preserve">2024; Luật Thuế giá trị gia tăng </w:t>
      </w:r>
      <w:r w:rsidR="000D5C2D" w:rsidRPr="00E24417">
        <w:rPr>
          <w:bCs/>
          <w:sz w:val="28"/>
          <w:szCs w:val="28"/>
        </w:rPr>
        <w:t xml:space="preserve">năm </w:t>
      </w:r>
      <w:r w:rsidRPr="00E24417">
        <w:rPr>
          <w:bCs/>
          <w:sz w:val="28"/>
          <w:szCs w:val="28"/>
        </w:rPr>
        <w:t xml:space="preserve">2024; Luật Phòng, chống rửa tiền </w:t>
      </w:r>
      <w:r w:rsidR="000D5C2D" w:rsidRPr="00E24417">
        <w:rPr>
          <w:bCs/>
          <w:sz w:val="28"/>
          <w:szCs w:val="28"/>
        </w:rPr>
        <w:t xml:space="preserve">năm </w:t>
      </w:r>
      <w:r w:rsidRPr="00E24417">
        <w:rPr>
          <w:bCs/>
          <w:sz w:val="28"/>
          <w:szCs w:val="28"/>
        </w:rPr>
        <w:t>2022. Nhóm văn bản này điều chỉnh các yếu tố tài chính của giao dịch phái sinh. Tuy nhiên, còn tồn tại khoảng trống về cơ chế ký quỹ, thanh toán bù trừ tập trung, chính sách thuế và kiểm soát dòng tiền; đồng thời có nguy cơ chồng lấn phạm vi điều chỉnh với pháp luật về chứng khoán.</w:t>
      </w:r>
    </w:p>
    <w:p w14:paraId="20BD479C" w14:textId="22B5B77C" w:rsidR="00616CCA" w:rsidRPr="00E24417" w:rsidRDefault="00616CCA" w:rsidP="001F10F9">
      <w:pPr>
        <w:tabs>
          <w:tab w:val="left" w:pos="993"/>
        </w:tabs>
        <w:spacing w:before="120" w:line="264" w:lineRule="auto"/>
        <w:rPr>
          <w:bCs/>
          <w:sz w:val="28"/>
          <w:szCs w:val="28"/>
        </w:rPr>
      </w:pPr>
      <w:r w:rsidRPr="00E24417">
        <w:rPr>
          <w:b/>
          <w:sz w:val="28"/>
          <w:szCs w:val="28"/>
        </w:rPr>
        <w:t xml:space="preserve">(iv) Nhóm pháp luật về công nghệ, dữ liệu và an ninh mạng gồm: </w:t>
      </w:r>
      <w:r w:rsidRPr="00E24417">
        <w:rPr>
          <w:bCs/>
          <w:sz w:val="28"/>
          <w:szCs w:val="28"/>
        </w:rPr>
        <w:t xml:space="preserve">Luật Giao dịch điện tử </w:t>
      </w:r>
      <w:r w:rsidR="000D5C2D" w:rsidRPr="00E24417">
        <w:rPr>
          <w:bCs/>
          <w:sz w:val="28"/>
          <w:szCs w:val="28"/>
        </w:rPr>
        <w:t xml:space="preserve">năm </w:t>
      </w:r>
      <w:r w:rsidRPr="00E24417">
        <w:rPr>
          <w:bCs/>
          <w:sz w:val="28"/>
          <w:szCs w:val="28"/>
        </w:rPr>
        <w:t xml:space="preserve">2023; Luật Công nghiệp công nghệ số </w:t>
      </w:r>
      <w:r w:rsidR="000D5C2D" w:rsidRPr="00E24417">
        <w:rPr>
          <w:bCs/>
          <w:sz w:val="28"/>
          <w:szCs w:val="28"/>
        </w:rPr>
        <w:t xml:space="preserve">năm </w:t>
      </w:r>
      <w:r w:rsidRPr="00E24417">
        <w:rPr>
          <w:bCs/>
          <w:sz w:val="28"/>
          <w:szCs w:val="28"/>
        </w:rPr>
        <w:t xml:space="preserve">2025; Luật Trí tuệ nhân tạo </w:t>
      </w:r>
      <w:r w:rsidR="000D5C2D" w:rsidRPr="00E24417">
        <w:rPr>
          <w:bCs/>
          <w:sz w:val="28"/>
          <w:szCs w:val="28"/>
        </w:rPr>
        <w:t xml:space="preserve">năm </w:t>
      </w:r>
      <w:r w:rsidRPr="00E24417">
        <w:rPr>
          <w:bCs/>
          <w:sz w:val="28"/>
          <w:szCs w:val="28"/>
        </w:rPr>
        <w:t xml:space="preserve">2025; Luật Bảo vệ dữ liệu cá nhân </w:t>
      </w:r>
      <w:r w:rsidR="000D5C2D" w:rsidRPr="00E24417">
        <w:rPr>
          <w:bCs/>
          <w:sz w:val="28"/>
          <w:szCs w:val="28"/>
        </w:rPr>
        <w:t xml:space="preserve">năm </w:t>
      </w:r>
      <w:r w:rsidRPr="00E24417">
        <w:rPr>
          <w:bCs/>
          <w:sz w:val="28"/>
          <w:szCs w:val="28"/>
        </w:rPr>
        <w:t xml:space="preserve">2025; Luật An toàn thông tin mạng </w:t>
      </w:r>
      <w:r w:rsidR="000D5C2D" w:rsidRPr="00E24417">
        <w:rPr>
          <w:bCs/>
          <w:sz w:val="28"/>
          <w:szCs w:val="28"/>
        </w:rPr>
        <w:t xml:space="preserve">năm </w:t>
      </w:r>
      <w:r w:rsidRPr="00E24417">
        <w:rPr>
          <w:bCs/>
          <w:sz w:val="28"/>
          <w:szCs w:val="28"/>
        </w:rPr>
        <w:t xml:space="preserve">2015; Luật An ninh mạng </w:t>
      </w:r>
      <w:r w:rsidR="000D5C2D" w:rsidRPr="00E24417">
        <w:rPr>
          <w:bCs/>
          <w:sz w:val="28"/>
          <w:szCs w:val="28"/>
        </w:rPr>
        <w:t xml:space="preserve">năm </w:t>
      </w:r>
      <w:r w:rsidRPr="00E24417">
        <w:rPr>
          <w:bCs/>
          <w:sz w:val="28"/>
          <w:szCs w:val="28"/>
        </w:rPr>
        <w:t xml:space="preserve">2018. Nhóm văn bản này tạo </w:t>
      </w:r>
      <w:r w:rsidRPr="00E24417">
        <w:rPr>
          <w:bCs/>
          <w:sz w:val="28"/>
          <w:szCs w:val="28"/>
        </w:rPr>
        <w:lastRenderedPageBreak/>
        <w:t>nền tảng pháp lý cho giao dịch trên môi trường số. Tuy nhiên, chưa có quy định đặc thù đối với hệ thống giao dịch tài chính thời gian thực, cũng như chưa thiết lập đầy đủ cơ chế quản lý dữ liệu và giám sát thị trường trên nền tảng số.</w:t>
      </w:r>
    </w:p>
    <w:p w14:paraId="3D05484A" w14:textId="304CE218" w:rsidR="00616CCA" w:rsidRPr="00E24417" w:rsidRDefault="00616CCA" w:rsidP="001F10F9">
      <w:pPr>
        <w:tabs>
          <w:tab w:val="left" w:pos="993"/>
        </w:tabs>
        <w:spacing w:before="120" w:line="264" w:lineRule="auto"/>
        <w:rPr>
          <w:bCs/>
          <w:sz w:val="28"/>
          <w:szCs w:val="28"/>
        </w:rPr>
      </w:pPr>
      <w:r w:rsidRPr="00E24417">
        <w:rPr>
          <w:b/>
          <w:sz w:val="28"/>
          <w:szCs w:val="28"/>
        </w:rPr>
        <w:t>(v) Nhóm pháp luật về cạnh tranh và bảo vệ thị trường gồm:</w:t>
      </w:r>
      <w:r w:rsidRPr="00E24417">
        <w:rPr>
          <w:bCs/>
          <w:sz w:val="28"/>
          <w:szCs w:val="28"/>
        </w:rPr>
        <w:t xml:space="preserve"> Luật Cạnh tranh </w:t>
      </w:r>
      <w:r w:rsidR="00DF523D" w:rsidRPr="00E24417">
        <w:rPr>
          <w:bCs/>
          <w:sz w:val="28"/>
          <w:szCs w:val="28"/>
        </w:rPr>
        <w:t xml:space="preserve"> năm </w:t>
      </w:r>
      <w:r w:rsidRPr="00E24417">
        <w:rPr>
          <w:bCs/>
          <w:sz w:val="28"/>
          <w:szCs w:val="28"/>
        </w:rPr>
        <w:t>2018 quy định về hành vi hạn chế cạnh tranh, tập trung kinh tế và cạnh tranh không lành mạnh. Tuy nhiên, chưa có cơ chế chuyên biệt để nhận diện, giám sát và xử lý các hành vi thao túng mang tính đặc thù của thị trường hàng hóa phái sinh (gắn với kho bãi, nguồn cung và logistics).</w:t>
      </w:r>
    </w:p>
    <w:p w14:paraId="04DCE482" w14:textId="108A8897" w:rsidR="00616CCA" w:rsidRPr="00E24417" w:rsidRDefault="00616CCA" w:rsidP="001F10F9">
      <w:pPr>
        <w:tabs>
          <w:tab w:val="left" w:pos="993"/>
        </w:tabs>
        <w:spacing w:before="120" w:line="264" w:lineRule="auto"/>
        <w:rPr>
          <w:bCs/>
          <w:sz w:val="28"/>
          <w:szCs w:val="28"/>
        </w:rPr>
      </w:pPr>
      <w:r w:rsidRPr="00E24417">
        <w:rPr>
          <w:b/>
          <w:sz w:val="28"/>
          <w:szCs w:val="28"/>
        </w:rPr>
        <w:t>(vi) Nhóm pháp luật về giải quyết tranh chấp và thể chế đặc thù gồm:</w:t>
      </w:r>
      <w:r w:rsidRPr="00E24417">
        <w:rPr>
          <w:bCs/>
          <w:sz w:val="28"/>
          <w:szCs w:val="28"/>
        </w:rPr>
        <w:t xml:space="preserve"> Luật Tòa án chuyên biệt tại Trung tâm tài chính quốc tế </w:t>
      </w:r>
      <w:r w:rsidR="00DF523D" w:rsidRPr="00E24417">
        <w:rPr>
          <w:bCs/>
          <w:sz w:val="28"/>
          <w:szCs w:val="28"/>
        </w:rPr>
        <w:t xml:space="preserve">năm </w:t>
      </w:r>
      <w:r w:rsidRPr="00E24417">
        <w:rPr>
          <w:bCs/>
          <w:sz w:val="28"/>
          <w:szCs w:val="28"/>
        </w:rPr>
        <w:t>2025, quy định cơ chế giải quyết tranh chấp chuyên biệt đối với các giao dịch tài chính, thương mại phức tạp. Tuy nhiên, cần tiếp tục hoàn thiện cơ chế phối hợp với trọng tài thương mại và các phương thức giải quyết tranh chấp quốc tế.</w:t>
      </w:r>
    </w:p>
    <w:p w14:paraId="3DF6CA7F" w14:textId="2131B06D" w:rsidR="00616CCA" w:rsidRPr="00E24417" w:rsidRDefault="00616CCA" w:rsidP="001F10F9">
      <w:pPr>
        <w:tabs>
          <w:tab w:val="left" w:pos="993"/>
        </w:tabs>
        <w:spacing w:before="120" w:line="264" w:lineRule="auto"/>
        <w:rPr>
          <w:b/>
          <w:sz w:val="28"/>
          <w:szCs w:val="28"/>
        </w:rPr>
      </w:pPr>
      <w:r w:rsidRPr="00E24417">
        <w:rPr>
          <w:b/>
          <w:sz w:val="28"/>
          <w:szCs w:val="28"/>
        </w:rPr>
        <w:t>(vii) Nhóm Nghị quyết, Pháp lệnh và văn bản dưới luật gồm:</w:t>
      </w:r>
    </w:p>
    <w:p w14:paraId="3FC330CB" w14:textId="717F8FF1" w:rsidR="00616CCA" w:rsidRPr="00E24417" w:rsidRDefault="00616CCA" w:rsidP="001F10F9">
      <w:pPr>
        <w:tabs>
          <w:tab w:val="left" w:pos="993"/>
        </w:tabs>
        <w:spacing w:before="120" w:line="264" w:lineRule="auto"/>
        <w:rPr>
          <w:bCs/>
          <w:sz w:val="28"/>
          <w:szCs w:val="28"/>
        </w:rPr>
      </w:pPr>
      <w:r w:rsidRPr="00E24417">
        <w:rPr>
          <w:bCs/>
          <w:sz w:val="28"/>
          <w:szCs w:val="28"/>
        </w:rPr>
        <w:t>- Nghị quyết số 222/2025/QH15 ngày 27</w:t>
      </w:r>
      <w:r w:rsidR="00B164AD" w:rsidRPr="00E24417">
        <w:rPr>
          <w:bCs/>
          <w:sz w:val="28"/>
          <w:szCs w:val="28"/>
        </w:rPr>
        <w:t xml:space="preserve"> tháng </w:t>
      </w:r>
      <w:r w:rsidRPr="00E24417">
        <w:rPr>
          <w:bCs/>
          <w:sz w:val="28"/>
          <w:szCs w:val="28"/>
        </w:rPr>
        <w:t>6</w:t>
      </w:r>
      <w:r w:rsidR="00B164AD" w:rsidRPr="00E24417">
        <w:rPr>
          <w:bCs/>
          <w:sz w:val="28"/>
          <w:szCs w:val="28"/>
        </w:rPr>
        <w:t xml:space="preserve"> năm </w:t>
      </w:r>
      <w:r w:rsidRPr="00E24417">
        <w:rPr>
          <w:bCs/>
          <w:sz w:val="28"/>
          <w:szCs w:val="28"/>
        </w:rPr>
        <w:t>2025 của Quốc hội về Trung tâm tài chính quốc tế tại Việt Nam;</w:t>
      </w:r>
    </w:p>
    <w:p w14:paraId="3E33C09A" w14:textId="47E21F38" w:rsidR="00616CCA" w:rsidRPr="00E24417" w:rsidRDefault="00616CCA" w:rsidP="001F10F9">
      <w:pPr>
        <w:tabs>
          <w:tab w:val="left" w:pos="993"/>
        </w:tabs>
        <w:spacing w:before="120" w:line="264" w:lineRule="auto"/>
        <w:rPr>
          <w:bCs/>
          <w:sz w:val="28"/>
          <w:szCs w:val="28"/>
        </w:rPr>
      </w:pPr>
      <w:r w:rsidRPr="00E24417">
        <w:rPr>
          <w:bCs/>
          <w:sz w:val="28"/>
          <w:szCs w:val="28"/>
        </w:rPr>
        <w:t xml:space="preserve">- Pháp lệnh Ngoại hối </w:t>
      </w:r>
      <w:r w:rsidR="00B164AD" w:rsidRPr="00E24417">
        <w:rPr>
          <w:bCs/>
          <w:sz w:val="28"/>
          <w:szCs w:val="28"/>
        </w:rPr>
        <w:t xml:space="preserve">năm </w:t>
      </w:r>
      <w:r w:rsidRPr="00E24417">
        <w:rPr>
          <w:bCs/>
          <w:sz w:val="28"/>
          <w:szCs w:val="28"/>
        </w:rPr>
        <w:t>2005, được sửa đổi, bổ sung năm 2013 (Văn bản hợp nhất số 07/VBHN-VPQH ngày 11</w:t>
      </w:r>
      <w:r w:rsidR="00B164AD" w:rsidRPr="00E24417">
        <w:rPr>
          <w:bCs/>
          <w:sz w:val="28"/>
          <w:szCs w:val="28"/>
        </w:rPr>
        <w:t xml:space="preserve"> tháng </w:t>
      </w:r>
      <w:r w:rsidRPr="00E24417">
        <w:rPr>
          <w:bCs/>
          <w:sz w:val="28"/>
          <w:szCs w:val="28"/>
        </w:rPr>
        <w:t>7</w:t>
      </w:r>
      <w:r w:rsidR="00B164AD" w:rsidRPr="00E24417">
        <w:rPr>
          <w:bCs/>
          <w:sz w:val="28"/>
          <w:szCs w:val="28"/>
        </w:rPr>
        <w:t xml:space="preserve"> năm </w:t>
      </w:r>
      <w:r w:rsidRPr="00E24417">
        <w:rPr>
          <w:bCs/>
          <w:sz w:val="28"/>
          <w:szCs w:val="28"/>
        </w:rPr>
        <w:t>2013);</w:t>
      </w:r>
    </w:p>
    <w:p w14:paraId="62709A27" w14:textId="1E3B596B" w:rsidR="00616CCA" w:rsidRPr="00E24417" w:rsidRDefault="00616CCA" w:rsidP="001F10F9">
      <w:pPr>
        <w:tabs>
          <w:tab w:val="left" w:pos="993"/>
        </w:tabs>
        <w:spacing w:before="120" w:line="264" w:lineRule="auto"/>
        <w:rPr>
          <w:bCs/>
          <w:sz w:val="28"/>
          <w:szCs w:val="28"/>
        </w:rPr>
      </w:pPr>
      <w:r w:rsidRPr="00E24417">
        <w:rPr>
          <w:bCs/>
          <w:sz w:val="28"/>
          <w:szCs w:val="28"/>
        </w:rPr>
        <w:t>- Nghị định số 158/2006/NĐ-CP ngày 28</w:t>
      </w:r>
      <w:r w:rsidR="00B164AD" w:rsidRPr="00E24417">
        <w:rPr>
          <w:bCs/>
          <w:sz w:val="28"/>
          <w:szCs w:val="28"/>
        </w:rPr>
        <w:t xml:space="preserve"> tháng </w:t>
      </w:r>
      <w:r w:rsidRPr="00E24417">
        <w:rPr>
          <w:bCs/>
          <w:sz w:val="28"/>
          <w:szCs w:val="28"/>
        </w:rPr>
        <w:t>12</w:t>
      </w:r>
      <w:r w:rsidR="00B164AD" w:rsidRPr="00E24417">
        <w:rPr>
          <w:bCs/>
          <w:sz w:val="28"/>
          <w:szCs w:val="28"/>
        </w:rPr>
        <w:t xml:space="preserve"> năm </w:t>
      </w:r>
      <w:r w:rsidRPr="00E24417">
        <w:rPr>
          <w:bCs/>
          <w:sz w:val="28"/>
          <w:szCs w:val="28"/>
        </w:rPr>
        <w:t>2006 của Chính phủ quy định chi tiết hoạt động mua bán hàng hóa qua Sở giao dịch hàng hóa;</w:t>
      </w:r>
    </w:p>
    <w:p w14:paraId="14D6AB94" w14:textId="2D83CC36" w:rsidR="00616CCA" w:rsidRPr="00E24417" w:rsidRDefault="00616CCA" w:rsidP="001F10F9">
      <w:pPr>
        <w:tabs>
          <w:tab w:val="left" w:pos="993"/>
        </w:tabs>
        <w:spacing w:before="120" w:line="264" w:lineRule="auto"/>
        <w:rPr>
          <w:bCs/>
          <w:sz w:val="28"/>
          <w:szCs w:val="28"/>
        </w:rPr>
      </w:pPr>
      <w:r w:rsidRPr="00E24417">
        <w:rPr>
          <w:bCs/>
          <w:sz w:val="28"/>
          <w:szCs w:val="28"/>
        </w:rPr>
        <w:t>- Nghị định số 51/2018/NĐ-CP ngày 09</w:t>
      </w:r>
      <w:r w:rsidR="00B164AD" w:rsidRPr="00E24417">
        <w:rPr>
          <w:bCs/>
          <w:sz w:val="28"/>
          <w:szCs w:val="28"/>
        </w:rPr>
        <w:t xml:space="preserve"> tháng </w:t>
      </w:r>
      <w:r w:rsidRPr="00E24417">
        <w:rPr>
          <w:bCs/>
          <w:sz w:val="28"/>
          <w:szCs w:val="28"/>
        </w:rPr>
        <w:t>4</w:t>
      </w:r>
      <w:r w:rsidR="00B164AD" w:rsidRPr="00E24417">
        <w:rPr>
          <w:bCs/>
          <w:sz w:val="28"/>
          <w:szCs w:val="28"/>
        </w:rPr>
        <w:t xml:space="preserve"> năm </w:t>
      </w:r>
      <w:r w:rsidRPr="00E24417">
        <w:rPr>
          <w:bCs/>
          <w:sz w:val="28"/>
          <w:szCs w:val="28"/>
        </w:rPr>
        <w:t>2018 của Chính phủ sửa đổi, bổ sung một số điều của Nghị định số 158/2006/NĐ-CP</w:t>
      </w:r>
      <w:r w:rsidR="00B164AD" w:rsidRPr="00E24417">
        <w:rPr>
          <w:bCs/>
          <w:sz w:val="28"/>
          <w:szCs w:val="28"/>
        </w:rPr>
        <w:t xml:space="preserve"> ngày 28 tháng 12 năm 2006</w:t>
      </w:r>
      <w:r w:rsidRPr="00E24417">
        <w:rPr>
          <w:bCs/>
          <w:sz w:val="28"/>
          <w:szCs w:val="28"/>
        </w:rPr>
        <w:t>;</w:t>
      </w:r>
    </w:p>
    <w:p w14:paraId="0A810557" w14:textId="49C56820" w:rsidR="00616CCA" w:rsidRPr="00E24417" w:rsidRDefault="00616CCA" w:rsidP="001F10F9">
      <w:pPr>
        <w:tabs>
          <w:tab w:val="left" w:pos="993"/>
        </w:tabs>
        <w:spacing w:before="120" w:line="264" w:lineRule="auto"/>
        <w:rPr>
          <w:bCs/>
          <w:sz w:val="28"/>
          <w:szCs w:val="28"/>
        </w:rPr>
      </w:pPr>
      <w:r w:rsidRPr="00E24417">
        <w:rPr>
          <w:bCs/>
          <w:sz w:val="28"/>
          <w:szCs w:val="28"/>
        </w:rPr>
        <w:t>- Nghị định số 98/2020/NĐ-CP ngày 26</w:t>
      </w:r>
      <w:r w:rsidR="00B164AD" w:rsidRPr="00E24417">
        <w:rPr>
          <w:bCs/>
          <w:sz w:val="28"/>
          <w:szCs w:val="28"/>
        </w:rPr>
        <w:t xml:space="preserve"> tháng </w:t>
      </w:r>
      <w:r w:rsidRPr="00E24417">
        <w:rPr>
          <w:bCs/>
          <w:sz w:val="28"/>
          <w:szCs w:val="28"/>
        </w:rPr>
        <w:t>8</w:t>
      </w:r>
      <w:r w:rsidR="00B164AD" w:rsidRPr="00E24417">
        <w:rPr>
          <w:bCs/>
          <w:sz w:val="28"/>
          <w:szCs w:val="28"/>
        </w:rPr>
        <w:t xml:space="preserve"> năm </w:t>
      </w:r>
      <w:r w:rsidRPr="00E24417">
        <w:rPr>
          <w:bCs/>
          <w:sz w:val="28"/>
          <w:szCs w:val="28"/>
        </w:rPr>
        <w:t>2020 của Chính phủ quy định xử phạt vi phạm hành chính trong hoạt động thương mại;</w:t>
      </w:r>
    </w:p>
    <w:p w14:paraId="12B69367" w14:textId="530B2609" w:rsidR="00616CCA" w:rsidRPr="00E24417" w:rsidRDefault="00616CCA" w:rsidP="001F10F9">
      <w:pPr>
        <w:tabs>
          <w:tab w:val="left" w:pos="993"/>
        </w:tabs>
        <w:spacing w:before="120" w:line="264" w:lineRule="auto"/>
        <w:rPr>
          <w:bCs/>
          <w:sz w:val="28"/>
          <w:szCs w:val="28"/>
        </w:rPr>
      </w:pPr>
      <w:r w:rsidRPr="00E24417">
        <w:rPr>
          <w:bCs/>
          <w:sz w:val="28"/>
          <w:szCs w:val="28"/>
        </w:rPr>
        <w:t>- Nghị định số 330/2025/NĐ-CP ngày 18</w:t>
      </w:r>
      <w:r w:rsidR="00B164AD" w:rsidRPr="00E24417">
        <w:rPr>
          <w:bCs/>
          <w:sz w:val="28"/>
          <w:szCs w:val="28"/>
        </w:rPr>
        <w:t xml:space="preserve"> tháng </w:t>
      </w:r>
      <w:r w:rsidRPr="00E24417">
        <w:rPr>
          <w:bCs/>
          <w:sz w:val="28"/>
          <w:szCs w:val="28"/>
        </w:rPr>
        <w:t>12</w:t>
      </w:r>
      <w:r w:rsidR="00B164AD" w:rsidRPr="00E24417">
        <w:rPr>
          <w:bCs/>
          <w:sz w:val="28"/>
          <w:szCs w:val="28"/>
        </w:rPr>
        <w:t xml:space="preserve"> năm </w:t>
      </w:r>
      <w:r w:rsidRPr="00E24417">
        <w:rPr>
          <w:bCs/>
          <w:sz w:val="28"/>
          <w:szCs w:val="28"/>
        </w:rPr>
        <w:t>2025 của Chính phủ về thành lập và hoạt động của Sở giao dịch hàng hóa trong Trung tâm tài chính quốc tế tại Việt Nam;</w:t>
      </w:r>
    </w:p>
    <w:p w14:paraId="61991BE9" w14:textId="77777777" w:rsidR="00616CCA" w:rsidRPr="00E24417" w:rsidRDefault="00616CCA" w:rsidP="001F10F9">
      <w:pPr>
        <w:tabs>
          <w:tab w:val="left" w:pos="993"/>
        </w:tabs>
        <w:spacing w:before="120" w:line="264" w:lineRule="auto"/>
        <w:rPr>
          <w:bCs/>
          <w:sz w:val="28"/>
          <w:szCs w:val="28"/>
        </w:rPr>
      </w:pPr>
      <w:r w:rsidRPr="00E24417">
        <w:rPr>
          <w:bCs/>
          <w:sz w:val="28"/>
          <w:szCs w:val="28"/>
        </w:rPr>
        <w:t>- Các Thông tư hướng dẫn, gồm:</w:t>
      </w:r>
    </w:p>
    <w:p w14:paraId="6F06B84D" w14:textId="567FFF7A" w:rsidR="00616CCA" w:rsidRPr="00E24417" w:rsidRDefault="00616CCA" w:rsidP="001F10F9">
      <w:pPr>
        <w:tabs>
          <w:tab w:val="left" w:pos="993"/>
        </w:tabs>
        <w:spacing w:before="120" w:line="264" w:lineRule="auto"/>
        <w:rPr>
          <w:bCs/>
          <w:sz w:val="28"/>
          <w:szCs w:val="28"/>
        </w:rPr>
      </w:pPr>
      <w:r w:rsidRPr="00E24417">
        <w:rPr>
          <w:bCs/>
          <w:sz w:val="28"/>
          <w:szCs w:val="28"/>
        </w:rPr>
        <w:t>+ Thông tư số 38/2013/TT-BCT ngày 30</w:t>
      </w:r>
      <w:r w:rsidR="00B164AD" w:rsidRPr="00E24417">
        <w:rPr>
          <w:bCs/>
          <w:sz w:val="28"/>
          <w:szCs w:val="28"/>
        </w:rPr>
        <w:t xml:space="preserve"> tháng </w:t>
      </w:r>
      <w:r w:rsidRPr="00E24417">
        <w:rPr>
          <w:bCs/>
          <w:sz w:val="28"/>
          <w:szCs w:val="28"/>
        </w:rPr>
        <w:t>12</w:t>
      </w:r>
      <w:r w:rsidR="00B164AD" w:rsidRPr="00E24417">
        <w:rPr>
          <w:bCs/>
          <w:sz w:val="28"/>
          <w:szCs w:val="28"/>
        </w:rPr>
        <w:t xml:space="preserve"> năm </w:t>
      </w:r>
      <w:r w:rsidRPr="00E24417">
        <w:rPr>
          <w:bCs/>
          <w:sz w:val="28"/>
          <w:szCs w:val="28"/>
        </w:rPr>
        <w:t>2013 của Bộ Công Thương quy định chi tiết về hoạt động mua bán hàng hóa qua Sở giao dịch hàng hóa;</w:t>
      </w:r>
    </w:p>
    <w:p w14:paraId="6FD95F66" w14:textId="40C2F576" w:rsidR="00616CCA" w:rsidRPr="00E24417" w:rsidRDefault="00616CCA" w:rsidP="001F10F9">
      <w:pPr>
        <w:tabs>
          <w:tab w:val="left" w:pos="993"/>
        </w:tabs>
        <w:spacing w:before="120" w:line="264" w:lineRule="auto"/>
        <w:rPr>
          <w:bCs/>
          <w:sz w:val="28"/>
          <w:szCs w:val="28"/>
        </w:rPr>
      </w:pPr>
      <w:r w:rsidRPr="00E24417">
        <w:rPr>
          <w:bCs/>
          <w:sz w:val="28"/>
          <w:szCs w:val="28"/>
        </w:rPr>
        <w:t>+ Thông tư số 04/2016/TT-BCT ngày 06</w:t>
      </w:r>
      <w:r w:rsidR="00B164AD" w:rsidRPr="00E24417">
        <w:rPr>
          <w:bCs/>
          <w:sz w:val="28"/>
          <w:szCs w:val="28"/>
        </w:rPr>
        <w:t xml:space="preserve"> tháng </w:t>
      </w:r>
      <w:r w:rsidRPr="00E24417">
        <w:rPr>
          <w:bCs/>
          <w:sz w:val="28"/>
          <w:szCs w:val="28"/>
        </w:rPr>
        <w:t>6</w:t>
      </w:r>
      <w:r w:rsidR="00B164AD" w:rsidRPr="00E24417">
        <w:rPr>
          <w:bCs/>
          <w:sz w:val="28"/>
          <w:szCs w:val="28"/>
        </w:rPr>
        <w:t xml:space="preserve"> năm </w:t>
      </w:r>
      <w:r w:rsidRPr="00E24417">
        <w:rPr>
          <w:bCs/>
          <w:sz w:val="28"/>
          <w:szCs w:val="28"/>
        </w:rPr>
        <w:t>2016 của Bộ Công Thương sửa đổi, bổ sung một số điều của Thông tư số 38/2013/TT-BCT</w:t>
      </w:r>
      <w:r w:rsidR="00B164AD" w:rsidRPr="00E24417">
        <w:rPr>
          <w:bCs/>
          <w:sz w:val="28"/>
          <w:szCs w:val="28"/>
        </w:rPr>
        <w:t xml:space="preserve"> ngày 30 tháng 12 năm 2013 của Bộ Công Thương</w:t>
      </w:r>
      <w:r w:rsidRPr="00E24417">
        <w:rPr>
          <w:bCs/>
          <w:sz w:val="28"/>
          <w:szCs w:val="28"/>
        </w:rPr>
        <w:t>;</w:t>
      </w:r>
    </w:p>
    <w:p w14:paraId="012DCEF5" w14:textId="1017F9CB" w:rsidR="00616CCA" w:rsidRPr="00E24417" w:rsidRDefault="00616CCA" w:rsidP="001F10F9">
      <w:pPr>
        <w:tabs>
          <w:tab w:val="left" w:pos="993"/>
        </w:tabs>
        <w:spacing w:before="120" w:line="264" w:lineRule="auto"/>
        <w:rPr>
          <w:bCs/>
          <w:sz w:val="28"/>
          <w:szCs w:val="28"/>
        </w:rPr>
      </w:pPr>
      <w:r w:rsidRPr="00E24417">
        <w:rPr>
          <w:bCs/>
          <w:sz w:val="28"/>
          <w:szCs w:val="28"/>
        </w:rPr>
        <w:lastRenderedPageBreak/>
        <w:t>+ Thông tư số 168/2016/TT-BTC ngày 26</w:t>
      </w:r>
      <w:r w:rsidR="00B164AD" w:rsidRPr="00E24417">
        <w:rPr>
          <w:bCs/>
          <w:sz w:val="28"/>
          <w:szCs w:val="28"/>
        </w:rPr>
        <w:t xml:space="preserve"> tháng</w:t>
      </w:r>
      <w:r w:rsidRPr="00E24417">
        <w:rPr>
          <w:bCs/>
          <w:sz w:val="28"/>
          <w:szCs w:val="28"/>
        </w:rPr>
        <w:t>10</w:t>
      </w:r>
      <w:r w:rsidR="00B164AD" w:rsidRPr="00E24417">
        <w:rPr>
          <w:bCs/>
          <w:sz w:val="28"/>
          <w:szCs w:val="28"/>
        </w:rPr>
        <w:t xml:space="preserve"> năm </w:t>
      </w:r>
      <w:r w:rsidRPr="00E24417">
        <w:rPr>
          <w:bCs/>
          <w:sz w:val="28"/>
          <w:szCs w:val="28"/>
        </w:rPr>
        <w:t>2016 của Bộ Tài chính quy định về mức thu, chế độ thu, nộp, quản lý và sử dụng phí trong hoạt động giao dịch hàng hóa qua Sở giao dịch hàng hóa;</w:t>
      </w:r>
    </w:p>
    <w:p w14:paraId="55694D11" w14:textId="7BBF2EDC" w:rsidR="00616CCA" w:rsidRPr="00E24417" w:rsidRDefault="00616CCA" w:rsidP="001F10F9">
      <w:pPr>
        <w:tabs>
          <w:tab w:val="left" w:pos="993"/>
        </w:tabs>
        <w:spacing w:before="120" w:line="264" w:lineRule="auto"/>
        <w:rPr>
          <w:bCs/>
          <w:sz w:val="28"/>
          <w:szCs w:val="28"/>
        </w:rPr>
      </w:pPr>
      <w:r w:rsidRPr="00E24417">
        <w:rPr>
          <w:bCs/>
          <w:sz w:val="28"/>
          <w:szCs w:val="28"/>
        </w:rPr>
        <w:t>+ Thông tư số 40/2016/TT-NHNN ngày 30</w:t>
      </w:r>
      <w:r w:rsidR="00B164AD" w:rsidRPr="00E24417">
        <w:rPr>
          <w:bCs/>
          <w:sz w:val="28"/>
          <w:szCs w:val="28"/>
        </w:rPr>
        <w:t xml:space="preserve"> tháng </w:t>
      </w:r>
      <w:r w:rsidRPr="00E24417">
        <w:rPr>
          <w:bCs/>
          <w:sz w:val="28"/>
          <w:szCs w:val="28"/>
        </w:rPr>
        <w:t>12</w:t>
      </w:r>
      <w:r w:rsidR="00B164AD" w:rsidRPr="00E24417">
        <w:rPr>
          <w:bCs/>
          <w:sz w:val="28"/>
          <w:szCs w:val="28"/>
        </w:rPr>
        <w:t xml:space="preserve">  năm </w:t>
      </w:r>
      <w:r w:rsidRPr="00E24417">
        <w:rPr>
          <w:bCs/>
          <w:sz w:val="28"/>
          <w:szCs w:val="28"/>
        </w:rPr>
        <w:t>2016 của Ngân hàng Nhà nước Việt Nam quy định về hoạt động cung ứng dịch vụ phái sinh giá hàng hóa của ngân hàng thương mại;</w:t>
      </w:r>
    </w:p>
    <w:p w14:paraId="2C20CF65" w14:textId="6DC2A901" w:rsidR="00616CCA" w:rsidRPr="00E24417" w:rsidRDefault="00616CCA" w:rsidP="001F10F9">
      <w:pPr>
        <w:tabs>
          <w:tab w:val="left" w:pos="993"/>
        </w:tabs>
        <w:spacing w:before="120" w:line="264" w:lineRule="auto"/>
        <w:rPr>
          <w:bCs/>
          <w:sz w:val="28"/>
          <w:szCs w:val="28"/>
        </w:rPr>
      </w:pPr>
      <w:r w:rsidRPr="00E24417">
        <w:rPr>
          <w:bCs/>
          <w:sz w:val="28"/>
          <w:szCs w:val="28"/>
        </w:rPr>
        <w:t>+ Thông tư số 20/2022/TT-NHNN ngày 30</w:t>
      </w:r>
      <w:r w:rsidR="00B164AD" w:rsidRPr="00E24417">
        <w:rPr>
          <w:bCs/>
          <w:sz w:val="28"/>
          <w:szCs w:val="28"/>
        </w:rPr>
        <w:t xml:space="preserve"> tháng </w:t>
      </w:r>
      <w:r w:rsidRPr="00E24417">
        <w:rPr>
          <w:bCs/>
          <w:sz w:val="28"/>
          <w:szCs w:val="28"/>
        </w:rPr>
        <w:t>12</w:t>
      </w:r>
      <w:r w:rsidR="00B164AD" w:rsidRPr="00E24417">
        <w:rPr>
          <w:bCs/>
          <w:sz w:val="28"/>
          <w:szCs w:val="28"/>
        </w:rPr>
        <w:t xml:space="preserve"> năm </w:t>
      </w:r>
      <w:r w:rsidRPr="00E24417">
        <w:rPr>
          <w:bCs/>
          <w:sz w:val="28"/>
          <w:szCs w:val="28"/>
        </w:rPr>
        <w:t xml:space="preserve">2022 của Ngân hàng Nhà nước Việt Nam sửa đổi, bổ sung một số điều của Thông tư số 40/2016/TT-NHNN </w:t>
      </w:r>
      <w:r w:rsidR="00B164AD" w:rsidRPr="00E24417">
        <w:rPr>
          <w:bCs/>
          <w:sz w:val="28"/>
          <w:szCs w:val="28"/>
        </w:rPr>
        <w:t xml:space="preserve">ngày 30 tháng 12  năm 2016 </w:t>
      </w:r>
      <w:r w:rsidRPr="00E24417">
        <w:rPr>
          <w:bCs/>
          <w:sz w:val="28"/>
          <w:szCs w:val="28"/>
        </w:rPr>
        <w:t>về hoạt động cung ứng dịch vụ phái sinh giá hàng hóa.</w:t>
      </w:r>
    </w:p>
    <w:p w14:paraId="016F16B4" w14:textId="01C12D70" w:rsidR="00616CCA" w:rsidRPr="00E24417" w:rsidRDefault="00616CCA" w:rsidP="001F10F9">
      <w:pPr>
        <w:tabs>
          <w:tab w:val="left" w:pos="993"/>
        </w:tabs>
        <w:spacing w:before="120" w:line="264" w:lineRule="auto"/>
        <w:rPr>
          <w:bCs/>
          <w:sz w:val="28"/>
          <w:szCs w:val="28"/>
        </w:rPr>
      </w:pPr>
      <w:r w:rsidRPr="00E24417">
        <w:rPr>
          <w:bCs/>
          <w:sz w:val="28"/>
          <w:szCs w:val="28"/>
        </w:rPr>
        <w:t>Các văn bản này đã tạo nền tảng pháp lý trực tiếp cho hoạt động thị trường, tuy nhiên còn phân tán, chủ yếu ở cấp dưới luật, chưa điều chỉnh đầy đủ các nội dung cốt lõi như thanh toán bù trừ, quản trị rủi ro, giám sát thị trường và giao dịch xuyên biên giới.</w:t>
      </w:r>
    </w:p>
    <w:p w14:paraId="6127E7BB" w14:textId="73F3F405" w:rsidR="00616CCA" w:rsidRPr="00E24417" w:rsidRDefault="00616CCA" w:rsidP="001F10F9">
      <w:pPr>
        <w:tabs>
          <w:tab w:val="left" w:pos="993"/>
        </w:tabs>
        <w:spacing w:before="120" w:line="264" w:lineRule="auto"/>
        <w:rPr>
          <w:bCs/>
          <w:sz w:val="28"/>
          <w:szCs w:val="28"/>
        </w:rPr>
      </w:pPr>
      <w:r w:rsidRPr="00E24417">
        <w:rPr>
          <w:bCs/>
          <w:sz w:val="28"/>
          <w:szCs w:val="28"/>
        </w:rPr>
        <w:t xml:space="preserve">Nhìn chung, hệ thống pháp luật hiện hành còn tồn tại một số hạn chế chủ yếu: quy định phân tán, thiếu tính hệ thống; chưa có khung pháp lý thống nhất ở cấp luật; chưa bao quát đầy đủ các cấu phần cốt lõi của thị trường phái sinh hiện đại; đồng thời tiềm ẩn nguy cơ chồng chéo giữa các lĩnh vực pháp luật. Do đó, việc xây dựng Luật Giao dịch hàng hóa phái sinh </w:t>
      </w:r>
      <w:r w:rsidR="00C703F5" w:rsidRPr="00E24417">
        <w:rPr>
          <w:bCs/>
          <w:sz w:val="28"/>
          <w:szCs w:val="28"/>
        </w:rPr>
        <w:t xml:space="preserve">(sau đây gọi tắt là Luật) </w:t>
      </w:r>
      <w:r w:rsidRPr="00E24417">
        <w:rPr>
          <w:bCs/>
          <w:sz w:val="28"/>
          <w:szCs w:val="28"/>
        </w:rPr>
        <w:t>là cần thiết nhằm thiết lập khuôn khổ pháp lý đồng bộ, hiện đại, minh bạch, phù hợp với thông lệ quốc tế và đáp ứng yêu cầu phát triển thị trường trong giai đoạn mới.</w:t>
      </w:r>
    </w:p>
    <w:p w14:paraId="5B659598" w14:textId="77777777" w:rsidR="00A54548" w:rsidRPr="00E24417" w:rsidRDefault="00A54548" w:rsidP="001F10F9">
      <w:pPr>
        <w:pStyle w:val="NormalWeb"/>
        <w:tabs>
          <w:tab w:val="left" w:pos="993"/>
        </w:tabs>
        <w:spacing w:before="120" w:beforeAutospacing="0" w:after="0" w:afterAutospacing="0" w:line="264" w:lineRule="auto"/>
        <w:ind w:firstLine="720"/>
        <w:jc w:val="both"/>
        <w:rPr>
          <w:rStyle w:val="Strong"/>
          <w:b w:val="0"/>
          <w:color w:val="000000"/>
          <w:sz w:val="28"/>
          <w:szCs w:val="28"/>
        </w:rPr>
      </w:pPr>
      <w:r w:rsidRPr="00E24417">
        <w:rPr>
          <w:rFonts w:eastAsia="Yu Gothic"/>
          <w:color w:val="000000"/>
          <w:sz w:val="28"/>
          <w:szCs w:val="28"/>
        </w:rPr>
        <w:t>3. Cơ sở thực tiễn và lý do</w:t>
      </w:r>
      <w:r w:rsidRPr="00E24417">
        <w:rPr>
          <w:rStyle w:val="Strong"/>
          <w:b w:val="0"/>
          <w:color w:val="000000"/>
          <w:sz w:val="28"/>
          <w:szCs w:val="28"/>
        </w:rPr>
        <w:t xml:space="preserve"> xây dựng Luật Giao dịch hàng hóa phái sinh</w:t>
      </w:r>
    </w:p>
    <w:p w14:paraId="0ACC6D83" w14:textId="77777777" w:rsidR="00570BA9" w:rsidRPr="00E24417" w:rsidRDefault="00570BA9" w:rsidP="001F10F9">
      <w:pPr>
        <w:widowControl w:val="0"/>
        <w:tabs>
          <w:tab w:val="right" w:leader="dot" w:pos="7920"/>
        </w:tabs>
        <w:spacing w:before="120" w:line="264" w:lineRule="auto"/>
        <w:rPr>
          <w:bCs/>
          <w:color w:val="000000"/>
          <w:sz w:val="28"/>
          <w:szCs w:val="28"/>
        </w:rPr>
      </w:pPr>
      <w:r w:rsidRPr="00E24417">
        <w:rPr>
          <w:bCs/>
          <w:color w:val="000000"/>
          <w:sz w:val="28"/>
          <w:szCs w:val="28"/>
        </w:rPr>
        <w:t>Trong những năm gần đây, hệ thống pháp luật Việt Nam trong các lĩnh vực kinh tế trọng yếu như chứng khoán, doanh nghiệp, đầu tư, ngân hàng, phòng chống rửa tiền, công nghệ số và dữ liệu đã được sửa đổi, bổ sung theo hướng đồng bộ, hiện đại, tiệm cận thông lệ quốc tế. Các lĩnh vực này đã cơ bản hình thành khung pháp lý ở cấp luật với đầy đủ các cấu phần về thiết chế thị trường, quản lý rủi ro, giám sát và bảo vệ nhà đầu tư, tiêu biểu như Luật Chứng khoán năm 2019, Luật Doanh nghiệp năm 2020, Luật Đầu tư năm 2020, Luật Các tổ chức tín dụng (sửa đổi), Luật Phòng, chống rửa tiền năm 2022 và các văn bản hướng dẫn thi hành.</w:t>
      </w:r>
    </w:p>
    <w:p w14:paraId="5F91FEB3" w14:textId="5C51A0A1" w:rsidR="00570BA9" w:rsidRPr="00E24417" w:rsidRDefault="00570BA9" w:rsidP="001F10F9">
      <w:pPr>
        <w:widowControl w:val="0"/>
        <w:tabs>
          <w:tab w:val="right" w:leader="dot" w:pos="7920"/>
        </w:tabs>
        <w:spacing w:before="120" w:line="264" w:lineRule="auto"/>
        <w:rPr>
          <w:bCs/>
          <w:color w:val="000000"/>
          <w:sz w:val="28"/>
          <w:szCs w:val="28"/>
        </w:rPr>
      </w:pPr>
      <w:r w:rsidRPr="00E24417">
        <w:rPr>
          <w:bCs/>
          <w:color w:val="000000"/>
          <w:sz w:val="28"/>
          <w:szCs w:val="28"/>
        </w:rPr>
        <w:t xml:space="preserve">Tuy nhiên, đối với hoạt động giao dịch hàng hóa phái sinh, đến nay vẫn chưa có đạo luật chuyên biệt điều chỉnh thống nhất. Hoạt động này hiện chủ yếu được quy định tại Luật Thương mại năm 2005 và các văn bản dưới luật, với phạm vi điều chỉnh còn mang tính nguyên tắc, chưa phản ánh đầy đủ đặc thù của thị trường phái sinh hiện đại. Pháp luật hiện hành còn thiếu các quy định thống nhất về khái niệm, phân loại công cụ phái sinh theo thông lệ quốc tế; chưa thiết lập đầy đủ khung pháp lý về tổ chức và hoạt động của Sở giao dịch hàng hóa, cơ chế thanh </w:t>
      </w:r>
      <w:r w:rsidRPr="00E24417">
        <w:rPr>
          <w:bCs/>
          <w:color w:val="000000"/>
          <w:sz w:val="28"/>
          <w:szCs w:val="28"/>
        </w:rPr>
        <w:lastRenderedPageBreak/>
        <w:t xml:space="preserve">toán </w:t>
      </w:r>
      <w:r w:rsidR="00935A34" w:rsidRPr="00E24417">
        <w:rPr>
          <w:bCs/>
          <w:color w:val="000000"/>
          <w:sz w:val="28"/>
          <w:szCs w:val="28"/>
        </w:rPr>
        <w:t>-</w:t>
      </w:r>
      <w:r w:rsidRPr="00E24417">
        <w:rPr>
          <w:bCs/>
          <w:color w:val="000000"/>
          <w:sz w:val="28"/>
          <w:szCs w:val="28"/>
        </w:rPr>
        <w:t xml:space="preserve"> bù trừ, lưu ký, quản lý rủi ro hệ thống và bảo vệ nhà đầu tư. Các quy định liên quan còn phân tán ở nhiều văn bản; trong khi pháp luật về chứng khoán chỉ điều chỉnh phái sinh tài chính, còn hoạt động phái sinh hàng hóa của các ngân hàng thương mại mới dừng ở mức nghiệp vụ hỗ trợ, chưa hình thành thị trường giao dịch tập trung hoàn chỉnh. Thực tiễn triển khai các </w:t>
      </w:r>
      <w:r w:rsidR="00171F2C" w:rsidRPr="00E24417">
        <w:rPr>
          <w:bCs/>
          <w:color w:val="000000"/>
          <w:sz w:val="28"/>
          <w:szCs w:val="28"/>
        </w:rPr>
        <w:t>N</w:t>
      </w:r>
      <w:r w:rsidRPr="00E24417">
        <w:rPr>
          <w:bCs/>
          <w:color w:val="000000"/>
          <w:sz w:val="28"/>
          <w:szCs w:val="28"/>
        </w:rPr>
        <w:t>ghị định thời gian qua cũng cho thấy nhiều nội dung cốt lõi của thị trường phái sinh hàng hóa vượt quá phạm vi điều chỉnh của văn bản dưới luật, cần được quy định ở cấp luật để bảo đảm tính ổn định, minh bạch và hiệu lực thi hành.</w:t>
      </w:r>
    </w:p>
    <w:p w14:paraId="7EE4F722" w14:textId="428C3886" w:rsidR="00570BA9" w:rsidRPr="00E24417" w:rsidRDefault="00570BA9" w:rsidP="001F10F9">
      <w:pPr>
        <w:widowControl w:val="0"/>
        <w:tabs>
          <w:tab w:val="right" w:leader="dot" w:pos="7920"/>
        </w:tabs>
        <w:spacing w:before="120" w:line="264" w:lineRule="auto"/>
        <w:rPr>
          <w:bCs/>
          <w:color w:val="000000"/>
          <w:sz w:val="28"/>
          <w:szCs w:val="28"/>
        </w:rPr>
      </w:pPr>
      <w:r w:rsidRPr="00E24417">
        <w:rPr>
          <w:bCs/>
          <w:color w:val="000000"/>
          <w:sz w:val="28"/>
          <w:szCs w:val="28"/>
        </w:rPr>
        <w:t xml:space="preserve">Trên thế giới, thị trường giao dịch hàng hóa phái sinh phát triển mạnh mẽ, đóng vai trò quan trọng trong việc phòng ngừa rủi ro giá cả và phân bổ nguồn lực. Tại các nước phát triển, thị trường này có mức độ gắn kết cao với nền kinh tế thực, với các </w:t>
      </w:r>
      <w:r w:rsidR="00171F2C" w:rsidRPr="00E24417">
        <w:rPr>
          <w:bCs/>
          <w:color w:val="000000"/>
          <w:sz w:val="28"/>
          <w:szCs w:val="28"/>
        </w:rPr>
        <w:t>T</w:t>
      </w:r>
      <w:r w:rsidRPr="00E24417">
        <w:rPr>
          <w:bCs/>
          <w:color w:val="000000"/>
          <w:sz w:val="28"/>
          <w:szCs w:val="28"/>
        </w:rPr>
        <w:t>rung tâm giao dịch lớn như CME Group (Hoa Kỳ), ICE, Sở giao dịch kim loại London (LME). Tại các nền kinh tế mới nổi, đặc biệt là Trung Quốc, các Sở giao dịch hàng hóa như DCE, SHFE, ZCE có tốc độ tăng trưởng nhanh và quy mô lớn, trong khi khu vực ASEAN cũng ghi nhận sự phát triển năng động với Sở giao dịch Singapore (SGX). Theo số liệu năm 2025 của Hiệp hội Công nghiệp Hợp đồng Tương lai (FIA), tổng khối lượng giao dịch phái sinh hàng hóa toàn cầu đạt khoảng 10,52 tỷ hợp đồng (trong đó nông sản 2,93 tỷ; năng lượng 3,79 tỷ; kim loại 3,8 tỷ), trong tổng số 119,29 tỷ hợp đồng phái sinh giao dịch trên toàn cầu. Dự báo của Statista cho thấy giá trị danh nghĩa thị trường phái sinh hàng hóa có thể đạt khoảng 135,49 nghìn tỷ USD vào năm 2026 và tiếp tục tăng trưởng ổn định trong giai đoạn tiếp theo. Đáng chú ý, tại hầu hết các quốc gia có thị trường phát triển, khuôn khổ pháp lý điều chỉnh lĩnh vực này đều được xây dựng ở cấp luật hoặc luật chuyên ngành, bảo đảm đầy đủ các quy định về cấu trúc thị trường, thanh toán bù trừ, quản lý rủi ro và giám sát giao dịch.</w:t>
      </w:r>
    </w:p>
    <w:p w14:paraId="75F2A67A" w14:textId="77777777" w:rsidR="00827B57" w:rsidRPr="00E24417" w:rsidRDefault="00827B57" w:rsidP="001F10F9">
      <w:pPr>
        <w:widowControl w:val="0"/>
        <w:tabs>
          <w:tab w:val="right" w:leader="dot" w:pos="7920"/>
        </w:tabs>
        <w:spacing w:before="120" w:line="264" w:lineRule="auto"/>
        <w:rPr>
          <w:bCs/>
          <w:color w:val="000000"/>
          <w:sz w:val="28"/>
          <w:szCs w:val="28"/>
        </w:rPr>
      </w:pPr>
      <w:r w:rsidRPr="00E24417">
        <w:rPr>
          <w:bCs/>
          <w:color w:val="000000"/>
          <w:sz w:val="28"/>
          <w:szCs w:val="28"/>
        </w:rPr>
        <w:t xml:space="preserve">Tại Việt Nam, thị trường giao dịch hàng hóa phái sinh đã từng bước hình thành với hai cấu phần chính là thị trường tập trung thông qua Sở Giao dịch hàng hóa Việt Nam (MXV) và thị trường phi tập trung (OTC) do các ngân hàng thương mại cung cấp. Hai cấu phần này vận hành song song, phản ánh đặc điểm của một thị trường đang trong giai đoạn chuyển tiếp, bước đầu đáp ứng nhu cầu phòng ngừa rủi ro giá của doanh nghiệp. </w:t>
      </w:r>
    </w:p>
    <w:p w14:paraId="78E97ADF" w14:textId="77777777" w:rsidR="00827B57" w:rsidRPr="00E24417" w:rsidRDefault="00827B57" w:rsidP="001F10F9">
      <w:pPr>
        <w:widowControl w:val="0"/>
        <w:tabs>
          <w:tab w:val="right" w:leader="dot" w:pos="7920"/>
        </w:tabs>
        <w:spacing w:before="120" w:line="264" w:lineRule="auto"/>
        <w:rPr>
          <w:bCs/>
          <w:color w:val="000000"/>
          <w:sz w:val="28"/>
          <w:szCs w:val="28"/>
        </w:rPr>
      </w:pPr>
      <w:r w:rsidRPr="00E24417">
        <w:rPr>
          <w:bCs/>
          <w:color w:val="000000"/>
          <w:sz w:val="28"/>
          <w:szCs w:val="28"/>
        </w:rPr>
        <w:t xml:space="preserve">Đối với thị trường tập trung, sau giai đoạn tái cấu trúc, từ năm 2019 đến nay đã ghi nhận sự tăng trưởng nhanh về quy mô và thanh khoản. Khối lượng giao dịch tăng từ khoảng 58.904 hợp đồng năm 2019 lên khoảng 1,54 triệu hợp đồng năm 2025; giá trị giao dịch ước đạt trên 1,9 triệu tỷ đồng, tương đương khoảng 7.500 tỷ đồng/ngày. Hệ thống thành viên được mở rộng lên khoảng 30–34 thành viên; danh mục sản phẩm gồm khoảng 38 loại hàng hóa với hơn 40 hợp đồng, tập trung vào các nhóm nông sản, kim loại và năng lượng, trong đó năng lượng chiếm tỷ trọng lớn. </w:t>
      </w:r>
    </w:p>
    <w:p w14:paraId="301BB439" w14:textId="77777777" w:rsidR="00827B57" w:rsidRPr="00E24417" w:rsidRDefault="00827B57" w:rsidP="001F10F9">
      <w:pPr>
        <w:widowControl w:val="0"/>
        <w:tabs>
          <w:tab w:val="right" w:leader="dot" w:pos="7920"/>
        </w:tabs>
        <w:spacing w:before="120" w:line="264" w:lineRule="auto"/>
        <w:rPr>
          <w:bCs/>
          <w:color w:val="000000"/>
          <w:sz w:val="28"/>
          <w:szCs w:val="28"/>
        </w:rPr>
      </w:pPr>
      <w:r w:rsidRPr="00E24417">
        <w:rPr>
          <w:bCs/>
          <w:color w:val="000000"/>
          <w:sz w:val="28"/>
          <w:szCs w:val="28"/>
        </w:rPr>
        <w:lastRenderedPageBreak/>
        <w:t xml:space="preserve">Tuy nhiên, thị trường tập trung hiện vẫn phụ thuộc đáng kể vào cơ chế liên thông với các Sở giao dịch hàng hóa quốc tế, dẫn đến sự phụ thuộc về giá cả và thanh khoản. Các hợp đồng phái sinh nội địa chưa phát triển, hạ tầng thanh toán bù trừ chưa đạt chuẩn quốc tế, cơ cấu nhà đầu tư chưa cân bằng và hệ sinh thái thị trường (kho bãi, giao nhận, tiêu chuẩn hóa hàng hóa) chưa đồng bộ. </w:t>
      </w:r>
    </w:p>
    <w:p w14:paraId="31DDC83F" w14:textId="77777777" w:rsidR="00827B57" w:rsidRPr="00E24417" w:rsidRDefault="00827B57" w:rsidP="001F10F9">
      <w:pPr>
        <w:widowControl w:val="0"/>
        <w:tabs>
          <w:tab w:val="right" w:leader="dot" w:pos="7920"/>
        </w:tabs>
        <w:spacing w:before="120" w:line="264" w:lineRule="auto"/>
        <w:rPr>
          <w:bCs/>
          <w:color w:val="000000"/>
          <w:sz w:val="28"/>
          <w:szCs w:val="28"/>
        </w:rPr>
      </w:pPr>
      <w:r w:rsidRPr="00E24417">
        <w:rPr>
          <w:bCs/>
          <w:color w:val="000000"/>
          <w:sz w:val="28"/>
          <w:szCs w:val="28"/>
        </w:rPr>
        <w:t xml:space="preserve">Song song đó, thị trường OTC do các ngân hàng thương mại cung cấp các sản phẩm kỳ hạn, hoán đổi, quyền chọn đối với một số mặt hàng nông sản, kim loại và năng lượng. Mặc dù có tính linh hoạt cao, thị trường này thiếu tiêu chuẩn hóa, tiềm ẩn rủi ro đối tác và chưa có cơ chế bù trừ tập trung. Đáng chú ý, các giao dịch trong nước thường phải đối ứng với đối tác nước ngoài, cho thấy sự phụ thuộc đáng kể vào hạ tầng và thanh khoản quốc tế. </w:t>
      </w:r>
    </w:p>
    <w:p w14:paraId="2457F50D" w14:textId="77777777" w:rsidR="00827B57" w:rsidRPr="00E24417" w:rsidRDefault="00827B57" w:rsidP="001F10F9">
      <w:pPr>
        <w:widowControl w:val="0"/>
        <w:tabs>
          <w:tab w:val="right" w:leader="dot" w:pos="7920"/>
        </w:tabs>
        <w:spacing w:before="120" w:line="264" w:lineRule="auto"/>
        <w:rPr>
          <w:bCs/>
          <w:color w:val="000000"/>
          <w:sz w:val="28"/>
          <w:szCs w:val="28"/>
        </w:rPr>
      </w:pPr>
      <w:r w:rsidRPr="00E24417">
        <w:rPr>
          <w:bCs/>
          <w:color w:val="000000"/>
          <w:sz w:val="28"/>
          <w:szCs w:val="28"/>
        </w:rPr>
        <w:t xml:space="preserve">Xét theo nhóm hàng hóa, nhu cầu sử dụng công cụ phái sinh tại Việt Nam là rõ ràng nhưng có sự phân hóa: nhóm năng lượng và nguyên liệu đầu vào có nhu cầu cao do phụ thuộc nhập khẩu và biến động giá quốc tế; nhóm hàng xuất khẩu cần nâng cao năng lực định giá; nhóm kim loại quý phục vụ mục tiêu đầu tư và phòng ngừa rủi ro tài chính; trong khi nhóm hàng hóa thiết yếu cần phát triển theo hướng gắn với thị trường vật chất để làm nền tảng cho thị trường phái sinh trong dài hạn. </w:t>
      </w:r>
    </w:p>
    <w:p w14:paraId="5D60B73B" w14:textId="77777777" w:rsidR="00827B57" w:rsidRPr="00E24417" w:rsidRDefault="00827B57" w:rsidP="001F10F9">
      <w:pPr>
        <w:widowControl w:val="0"/>
        <w:tabs>
          <w:tab w:val="right" w:leader="dot" w:pos="7920"/>
        </w:tabs>
        <w:spacing w:before="120" w:line="264" w:lineRule="auto"/>
        <w:rPr>
          <w:bCs/>
          <w:color w:val="000000"/>
          <w:sz w:val="28"/>
          <w:szCs w:val="28"/>
        </w:rPr>
      </w:pPr>
      <w:r w:rsidRPr="00E24417">
        <w:rPr>
          <w:bCs/>
          <w:color w:val="000000"/>
          <w:sz w:val="28"/>
          <w:szCs w:val="28"/>
        </w:rPr>
        <w:t xml:space="preserve">Mặc dù đã có bước phát triển đáng kể, thị trường giao dịch hàng hóa phái sinh tại Việt Nam vẫn ở giai đoạn đầu, với quy mô còn khiêm tốn và mức độ phụ thuộc lớn vào thị trường quốc tế. Phần lớn giao dịch hiện vẫn thực hiện thông qua liên thông hoặc đối ứng ra nước ngoài, tiềm ẩn rủi ro đối với quản lý dòng vốn, an toàn hệ thống và bảo vệ nhà đầu tư. Theo số liệu của Ngân hàng Nhà nước Việt Nam, doanh số chuyển tiền phục vụ giao dịch qua Sở giao dịch hàng hóa ở nước ngoài giai đoạn 2022–5/2025 đạt khoảng 74,2 triệu USD chuyển ra và 51 triệu USD chuyển về. </w:t>
      </w:r>
    </w:p>
    <w:p w14:paraId="62624586" w14:textId="77777777" w:rsidR="00827B57" w:rsidRPr="00E24417" w:rsidRDefault="00827B57" w:rsidP="001F10F9">
      <w:pPr>
        <w:widowControl w:val="0"/>
        <w:tabs>
          <w:tab w:val="right" w:leader="dot" w:pos="7920"/>
        </w:tabs>
        <w:spacing w:before="120" w:line="264" w:lineRule="auto"/>
        <w:rPr>
          <w:bCs/>
          <w:color w:val="000000"/>
          <w:sz w:val="28"/>
          <w:szCs w:val="28"/>
        </w:rPr>
      </w:pPr>
      <w:r w:rsidRPr="00E24417">
        <w:rPr>
          <w:bCs/>
          <w:color w:val="000000"/>
          <w:sz w:val="28"/>
          <w:szCs w:val="28"/>
        </w:rPr>
        <w:t>Trong bối cảnh nền kinh tế có độ mở lớn và chịu tác động mạnh từ biến động giá hàng hóa toàn cầu, thực tiễn nêu trên cho thấy yêu cầu cấp thiết phải xây dựng một khuôn khổ pháp lý đầy đủ, đồng bộ ở cấp luật nhằm phát triển thị trường giao dịch hàng hóa phái sinh theo hướng minh bạch, an toàn, giảm phụ thuộc vào thị trường nước ngoài và nâng cao hiệu quả quản trị rủi ro cho nền kinh tế.</w:t>
      </w:r>
    </w:p>
    <w:p w14:paraId="7623CF65" w14:textId="18614612" w:rsidR="00AA3A96" w:rsidRPr="00E24417" w:rsidRDefault="00AA3A96" w:rsidP="001F10F9">
      <w:pPr>
        <w:widowControl w:val="0"/>
        <w:tabs>
          <w:tab w:val="right" w:leader="dot" w:pos="7920"/>
        </w:tabs>
        <w:spacing w:before="120" w:line="264" w:lineRule="auto"/>
        <w:rPr>
          <w:rStyle w:val="Strong"/>
          <w:b w:val="0"/>
          <w:color w:val="000000"/>
          <w:sz w:val="28"/>
          <w:szCs w:val="28"/>
        </w:rPr>
      </w:pPr>
      <w:r w:rsidRPr="00E24417">
        <w:rPr>
          <w:rStyle w:val="Strong"/>
          <w:b w:val="0"/>
          <w:color w:val="000000"/>
          <w:sz w:val="28"/>
          <w:szCs w:val="28"/>
        </w:rPr>
        <w:t xml:space="preserve">Từ các phân tích nêu trên, việc xây dựng </w:t>
      </w:r>
      <w:r w:rsidR="00C703F5" w:rsidRPr="00E24417">
        <w:rPr>
          <w:rStyle w:val="Strong"/>
          <w:b w:val="0"/>
          <w:color w:val="000000"/>
          <w:sz w:val="28"/>
          <w:szCs w:val="28"/>
        </w:rPr>
        <w:t>Luật</w:t>
      </w:r>
      <w:r w:rsidRPr="00E24417">
        <w:rPr>
          <w:rStyle w:val="Strong"/>
          <w:b w:val="0"/>
          <w:color w:val="000000"/>
          <w:sz w:val="28"/>
          <w:szCs w:val="28"/>
        </w:rPr>
        <w:t xml:space="preserve"> là cần thiết, với các lý do chủ yếu sau:</w:t>
      </w:r>
    </w:p>
    <w:p w14:paraId="2D61C350" w14:textId="6207711A" w:rsidR="00570BA9" w:rsidRPr="00E24417" w:rsidRDefault="00570BA9" w:rsidP="001F10F9">
      <w:pPr>
        <w:pStyle w:val="NormalWeb"/>
        <w:tabs>
          <w:tab w:val="left" w:pos="993"/>
        </w:tabs>
        <w:spacing w:before="120" w:beforeAutospacing="0" w:after="0" w:afterAutospacing="0" w:line="264" w:lineRule="auto"/>
        <w:ind w:firstLine="720"/>
        <w:jc w:val="both"/>
        <w:rPr>
          <w:rStyle w:val="Strong"/>
          <w:b w:val="0"/>
          <w:i/>
          <w:iCs/>
          <w:color w:val="000000"/>
          <w:sz w:val="28"/>
          <w:szCs w:val="28"/>
        </w:rPr>
      </w:pPr>
      <w:r w:rsidRPr="00E24417">
        <w:rPr>
          <w:rStyle w:val="Strong"/>
          <w:b w:val="0"/>
          <w:i/>
          <w:iCs/>
          <w:color w:val="000000"/>
          <w:sz w:val="28"/>
          <w:szCs w:val="28"/>
        </w:rPr>
        <w:t xml:space="preserve">Thứ nhất, về phạm vi điều chỉnh và tính chất chuyên ngành: </w:t>
      </w:r>
      <w:r w:rsidRPr="00E24417">
        <w:rPr>
          <w:rStyle w:val="Strong"/>
          <w:b w:val="0"/>
          <w:color w:val="000000"/>
          <w:sz w:val="28"/>
          <w:szCs w:val="28"/>
        </w:rPr>
        <w:t xml:space="preserve">Luật Thương mại năm 2005 là đạo luật khung, chỉ quy định mang tính nguyên tắc về mua bán hàng hóa qua Sở giao dịch hàng hóa, chưa bao quát đầy đủ đặc thù của giao dịch hàng hóa phái sinh – lĩnh vực có tính chất phức tạp, gắn với cơ chế ký quỹ, thanh toán bù trừ và quản lý rủi ro hệ thống. Việc tiếp tục điều chỉnh trong khuôn khổ Luật Thương mại sẽ khó hình thành một khung pháp lý toàn diện, chuyên sâu và </w:t>
      </w:r>
      <w:r w:rsidRPr="00E24417">
        <w:rPr>
          <w:rStyle w:val="Strong"/>
          <w:b w:val="0"/>
          <w:color w:val="000000"/>
          <w:sz w:val="28"/>
          <w:szCs w:val="28"/>
        </w:rPr>
        <w:lastRenderedPageBreak/>
        <w:t>ổn định, dễ dẫn đến chắp vá, thiếu đồng bộ. Mặc dù các Nghị định số 158/2006/NĐ-CP và 51/2018/NĐ-CP đã bước đầu tạo cơ sở pháp lý cho thị trường hình thành và phát triển, nhưng do được ban hành từ lâu, các quy định này đã bộc lộ nhiều hạn chế: chưa có định nghĩa và phân loại thống nhất về công cụ phái sinh; thiếu quy định đầy đủ về tổ chức thị trường, thanh toán bù trừ, lưu ký, quản lý rủi ro; chưa thiết lập cơ chế bảo vệ nhà đầu tư, công bố thông tin, giám sát thị trường và xử lý vi phạm; chưa đáp ứng yêu cầu quản lý giao dịch xuyên biên giới và hội nhập quốc tế.</w:t>
      </w:r>
    </w:p>
    <w:p w14:paraId="1A8E93D4" w14:textId="3701A22F" w:rsidR="00570BA9" w:rsidRPr="00E24417" w:rsidRDefault="00570BA9" w:rsidP="001F10F9">
      <w:pPr>
        <w:pStyle w:val="NormalWeb"/>
        <w:tabs>
          <w:tab w:val="left" w:pos="993"/>
        </w:tabs>
        <w:spacing w:before="120" w:beforeAutospacing="0" w:after="0" w:afterAutospacing="0" w:line="264" w:lineRule="auto"/>
        <w:ind w:firstLine="720"/>
        <w:jc w:val="both"/>
        <w:rPr>
          <w:rStyle w:val="Strong"/>
          <w:b w:val="0"/>
          <w:i/>
          <w:iCs/>
          <w:color w:val="000000"/>
          <w:sz w:val="28"/>
          <w:szCs w:val="28"/>
        </w:rPr>
      </w:pPr>
      <w:r w:rsidRPr="00E24417">
        <w:rPr>
          <w:rStyle w:val="Strong"/>
          <w:b w:val="0"/>
          <w:i/>
          <w:iCs/>
          <w:color w:val="000000"/>
          <w:sz w:val="28"/>
          <w:szCs w:val="28"/>
        </w:rPr>
        <w:t>Thứ hai, về khoảng trống pháp lý và yêu cầu hoàn thiện khung khổ pháp luật:</w:t>
      </w:r>
    </w:p>
    <w:p w14:paraId="60DFB04B" w14:textId="761787B6" w:rsidR="00570BA9" w:rsidRPr="00E24417" w:rsidRDefault="00570BA9" w:rsidP="001F10F9">
      <w:pPr>
        <w:pStyle w:val="NormalWeb"/>
        <w:tabs>
          <w:tab w:val="left" w:pos="993"/>
        </w:tabs>
        <w:spacing w:before="120" w:beforeAutospacing="0" w:after="0" w:afterAutospacing="0" w:line="264" w:lineRule="auto"/>
        <w:ind w:firstLine="720"/>
        <w:jc w:val="both"/>
        <w:rPr>
          <w:rStyle w:val="Strong"/>
          <w:b w:val="0"/>
          <w:color w:val="000000"/>
          <w:sz w:val="28"/>
          <w:szCs w:val="28"/>
        </w:rPr>
      </w:pPr>
      <w:r w:rsidRPr="00E24417">
        <w:rPr>
          <w:rStyle w:val="Strong"/>
          <w:b w:val="0"/>
          <w:color w:val="000000"/>
          <w:sz w:val="28"/>
          <w:szCs w:val="28"/>
        </w:rPr>
        <w:t>Pháp luật hiện hành chưa thiết lập đầy đủ các cấu phần cốt lõi của thị trường như trung tâm thanh toán bù trừ (CCP), cơ chế ký quỹ, quản lý vị thế, tiêu chuẩn hóa hợp đồng, lưu ký, cũng như cơ chế giám sát và bảo vệ nhà đầu tư. Các quy định chủ yếu nằm ở cấp dưới luật, thiếu tính ổn định và chưa đáp ứng yêu cầu vận hành thị trường quy mô lớn. Trong khi đó, pháp luật về chứng khoán phái sinh (Nghị định số 158/2020/NĐ-CP) chỉ điều chỉnh các công cụ tài chính, không bao quát phái sinh hàng hóa. Hoạt động phái sinh hàng hóa của ngân hàng thương mại theo Thông tư số 40/2016/TT-NHNN cũng chỉ mang tính nghiệp vụ hỗ trợ, không hình thành được thị trường giao dịch tập trung với đầy đủ các thiết chế cần thiết. Điều này tạo ra khoảng trống pháp lý đáng kể, đòi hỏi phải được khắc phục ở cấp luật.</w:t>
      </w:r>
    </w:p>
    <w:p w14:paraId="007B12A1" w14:textId="77777777" w:rsidR="00570BA9" w:rsidRPr="00E24417" w:rsidRDefault="00570BA9" w:rsidP="001F10F9">
      <w:pPr>
        <w:pStyle w:val="NormalWeb"/>
        <w:tabs>
          <w:tab w:val="left" w:pos="993"/>
        </w:tabs>
        <w:spacing w:before="120" w:beforeAutospacing="0" w:after="0" w:afterAutospacing="0" w:line="264" w:lineRule="auto"/>
        <w:ind w:firstLine="720"/>
        <w:jc w:val="both"/>
        <w:rPr>
          <w:rStyle w:val="Strong"/>
          <w:b w:val="0"/>
          <w:i/>
          <w:iCs/>
          <w:color w:val="000000"/>
          <w:sz w:val="28"/>
          <w:szCs w:val="28"/>
        </w:rPr>
      </w:pPr>
      <w:r w:rsidRPr="00E24417">
        <w:rPr>
          <w:rStyle w:val="Strong"/>
          <w:b w:val="0"/>
          <w:i/>
          <w:iCs/>
          <w:color w:val="000000"/>
          <w:sz w:val="28"/>
          <w:szCs w:val="28"/>
        </w:rPr>
        <w:t>Thứ ba, về sự phân tán và thiếu đồng bộ của hệ thống pháp luật.</w:t>
      </w:r>
    </w:p>
    <w:p w14:paraId="47392399" w14:textId="77777777" w:rsidR="00570BA9" w:rsidRPr="00E24417" w:rsidRDefault="00570BA9" w:rsidP="001F10F9">
      <w:pPr>
        <w:pStyle w:val="NormalWeb"/>
        <w:tabs>
          <w:tab w:val="left" w:pos="993"/>
        </w:tabs>
        <w:spacing w:before="120" w:beforeAutospacing="0" w:after="0" w:afterAutospacing="0" w:line="264" w:lineRule="auto"/>
        <w:ind w:firstLine="720"/>
        <w:jc w:val="both"/>
        <w:rPr>
          <w:rStyle w:val="Strong"/>
          <w:b w:val="0"/>
          <w:color w:val="000000"/>
          <w:sz w:val="28"/>
          <w:szCs w:val="28"/>
        </w:rPr>
      </w:pPr>
      <w:r w:rsidRPr="00E24417">
        <w:rPr>
          <w:rStyle w:val="Strong"/>
          <w:b w:val="0"/>
          <w:color w:val="000000"/>
          <w:sz w:val="28"/>
          <w:szCs w:val="28"/>
        </w:rPr>
        <w:t>Các quy định liên quan đến giao dịch hàng hóa phái sinh hiện đang phân tán ở nhiều văn bản khác nhau, thiếu cơ chế điều phối thống nhất, dẫn đến nguy cơ chồng chéo hoặc bỏ sót, đặc biệt trong các lĩnh vực quản lý dòng tiền, thuế, phòng chống rửa tiền, giao dịch xuyên biên giới và giám sát thị trường. Việc ban hành một đạo luật riêng là cần thiết để thiết lập khuôn khổ pháp lý thống nhất, đồng bộ.</w:t>
      </w:r>
    </w:p>
    <w:p w14:paraId="5127D9C2" w14:textId="7669784D" w:rsidR="00570BA9" w:rsidRPr="00E24417" w:rsidRDefault="00570BA9" w:rsidP="001F10F9">
      <w:pPr>
        <w:pStyle w:val="NormalWeb"/>
        <w:tabs>
          <w:tab w:val="left" w:pos="993"/>
        </w:tabs>
        <w:spacing w:before="120" w:beforeAutospacing="0" w:after="0" w:afterAutospacing="0" w:line="264" w:lineRule="auto"/>
        <w:ind w:firstLine="720"/>
        <w:jc w:val="both"/>
        <w:rPr>
          <w:rStyle w:val="Strong"/>
          <w:b w:val="0"/>
          <w:i/>
          <w:iCs/>
          <w:color w:val="000000"/>
          <w:sz w:val="28"/>
          <w:szCs w:val="28"/>
        </w:rPr>
      </w:pPr>
      <w:r w:rsidRPr="00E24417">
        <w:rPr>
          <w:rStyle w:val="Strong"/>
          <w:b w:val="0"/>
          <w:i/>
          <w:iCs/>
          <w:color w:val="000000"/>
          <w:sz w:val="28"/>
          <w:szCs w:val="28"/>
        </w:rPr>
        <w:t>Thứ tư, về mối quan hệ với các luật chuyên ngành.</w:t>
      </w:r>
    </w:p>
    <w:p w14:paraId="3C266A38" w14:textId="2E42D55B" w:rsidR="00570BA9" w:rsidRPr="00E24417" w:rsidRDefault="00570BA9" w:rsidP="001F10F9">
      <w:pPr>
        <w:pStyle w:val="NormalWeb"/>
        <w:tabs>
          <w:tab w:val="left" w:pos="993"/>
        </w:tabs>
        <w:spacing w:before="120" w:beforeAutospacing="0" w:after="0" w:afterAutospacing="0" w:line="264" w:lineRule="auto"/>
        <w:ind w:firstLine="720"/>
        <w:jc w:val="both"/>
        <w:rPr>
          <w:rStyle w:val="Strong"/>
          <w:b w:val="0"/>
          <w:color w:val="000000"/>
          <w:sz w:val="28"/>
          <w:szCs w:val="28"/>
        </w:rPr>
      </w:pPr>
      <w:r w:rsidRPr="00E24417">
        <w:rPr>
          <w:rStyle w:val="Strong"/>
          <w:b w:val="0"/>
          <w:color w:val="000000"/>
          <w:sz w:val="28"/>
          <w:szCs w:val="28"/>
        </w:rPr>
        <w:t>Luật Chứng khoán và các văn bản liên quan chỉ điều chỉnh phái sinh tài chính; trong khi hoạt động phái sinh hàng hóa của ngân hàng thương mại chỉ mang tính hỗ trợ, không thể thay thế vai trò của thị trường giao dịch tập trung. Sự thiếu vắng một đạo luật chuyên ngành về phái sinh hàng hóa dẫn đến khoảng trống và sự thiếu liên kết trong hệ thống pháp luật hiện hành.</w:t>
      </w:r>
    </w:p>
    <w:p w14:paraId="28C5B83E" w14:textId="77777777" w:rsidR="00570BA9" w:rsidRPr="00E24417" w:rsidRDefault="00570BA9" w:rsidP="001F10F9">
      <w:pPr>
        <w:pStyle w:val="NormalWeb"/>
        <w:tabs>
          <w:tab w:val="left" w:pos="993"/>
        </w:tabs>
        <w:spacing w:before="120" w:beforeAutospacing="0" w:after="0" w:afterAutospacing="0" w:line="264" w:lineRule="auto"/>
        <w:ind w:firstLine="720"/>
        <w:jc w:val="both"/>
        <w:rPr>
          <w:rStyle w:val="Strong"/>
          <w:b w:val="0"/>
          <w:i/>
          <w:iCs/>
          <w:color w:val="000000"/>
          <w:sz w:val="28"/>
          <w:szCs w:val="28"/>
        </w:rPr>
      </w:pPr>
      <w:r w:rsidRPr="00E24417">
        <w:rPr>
          <w:rStyle w:val="Strong"/>
          <w:b w:val="0"/>
          <w:i/>
          <w:iCs/>
          <w:color w:val="000000"/>
          <w:sz w:val="28"/>
          <w:szCs w:val="28"/>
        </w:rPr>
        <w:t>Thứ năm, về yêu cầu phát triển thị trường và hội nhập quốc tế.</w:t>
      </w:r>
    </w:p>
    <w:p w14:paraId="7E9C1893" w14:textId="5BF70334" w:rsidR="00570BA9" w:rsidRPr="00E24417" w:rsidRDefault="00570BA9" w:rsidP="001F10F9">
      <w:pPr>
        <w:pStyle w:val="NormalWeb"/>
        <w:tabs>
          <w:tab w:val="left" w:pos="993"/>
        </w:tabs>
        <w:spacing w:before="120" w:beforeAutospacing="0" w:after="0" w:afterAutospacing="0" w:line="264" w:lineRule="auto"/>
        <w:ind w:firstLine="720"/>
        <w:jc w:val="both"/>
        <w:rPr>
          <w:rStyle w:val="Strong"/>
          <w:b w:val="0"/>
          <w:color w:val="000000"/>
          <w:sz w:val="28"/>
          <w:szCs w:val="28"/>
        </w:rPr>
      </w:pPr>
      <w:r w:rsidRPr="00E24417">
        <w:rPr>
          <w:rStyle w:val="Strong"/>
          <w:b w:val="0"/>
          <w:color w:val="000000"/>
          <w:sz w:val="28"/>
          <w:szCs w:val="28"/>
        </w:rPr>
        <w:t xml:space="preserve">Trong bối cảnh hội nhập sâu rộng, việc phát triển thị trường giao dịch hàng hóa phái sinh theo chuẩn mực quốc tế là yêu cầu tất yếu nhằm nâng cao năng lực cạnh tranh, hỗ trợ doanh nghiệp phòng ngừa rủi ro giá và tăng cường kết nối với </w:t>
      </w:r>
      <w:r w:rsidRPr="00E24417">
        <w:rPr>
          <w:rStyle w:val="Strong"/>
          <w:b w:val="0"/>
          <w:color w:val="000000"/>
          <w:sz w:val="28"/>
          <w:szCs w:val="28"/>
        </w:rPr>
        <w:lastRenderedPageBreak/>
        <w:t>thị trường toàn cầu. Thực tiễn quốc tế cho thấy hầu hết các quốc gia đều xây dựng khuôn khổ pháp lý ở cấp luật hoặc luật chuyên biệt cho lĩnh vực này. Nếu tiếp tục duy trì khuôn khổ hiện hành, Việt Nam sẽ khó tham gia sâu vào thị trường quốc tế và thu hút nhà đầu tư nước ngoài.</w:t>
      </w:r>
    </w:p>
    <w:p w14:paraId="4567C84C" w14:textId="77777777" w:rsidR="00570BA9" w:rsidRPr="00E24417" w:rsidRDefault="00570BA9" w:rsidP="001F10F9">
      <w:pPr>
        <w:pStyle w:val="NormalWeb"/>
        <w:tabs>
          <w:tab w:val="left" w:pos="993"/>
        </w:tabs>
        <w:spacing w:before="120" w:beforeAutospacing="0" w:after="0" w:afterAutospacing="0" w:line="264" w:lineRule="auto"/>
        <w:ind w:firstLine="720"/>
        <w:jc w:val="both"/>
        <w:rPr>
          <w:rStyle w:val="Strong"/>
          <w:b w:val="0"/>
          <w:i/>
          <w:iCs/>
          <w:color w:val="000000"/>
          <w:sz w:val="28"/>
          <w:szCs w:val="28"/>
        </w:rPr>
      </w:pPr>
      <w:r w:rsidRPr="00E24417">
        <w:rPr>
          <w:rStyle w:val="Strong"/>
          <w:b w:val="0"/>
          <w:i/>
          <w:iCs/>
          <w:color w:val="000000"/>
          <w:sz w:val="28"/>
          <w:szCs w:val="28"/>
        </w:rPr>
        <w:t>Thứ sáu, về yêu cầu quản lý nhà nước và kiểm soát rủi ro hệ thống.</w:t>
      </w:r>
    </w:p>
    <w:p w14:paraId="604F47C2" w14:textId="3A6F5404" w:rsidR="00570BA9" w:rsidRPr="00E24417" w:rsidRDefault="00570BA9" w:rsidP="001F10F9">
      <w:pPr>
        <w:pStyle w:val="NormalWeb"/>
        <w:tabs>
          <w:tab w:val="left" w:pos="993"/>
        </w:tabs>
        <w:spacing w:before="120" w:beforeAutospacing="0" w:after="0" w:afterAutospacing="0" w:line="264" w:lineRule="auto"/>
        <w:ind w:firstLine="720"/>
        <w:jc w:val="both"/>
        <w:rPr>
          <w:rStyle w:val="Strong"/>
          <w:b w:val="0"/>
          <w:color w:val="000000"/>
          <w:sz w:val="28"/>
          <w:szCs w:val="28"/>
        </w:rPr>
      </w:pPr>
      <w:r w:rsidRPr="00E24417">
        <w:rPr>
          <w:rStyle w:val="Strong"/>
          <w:b w:val="0"/>
          <w:color w:val="000000"/>
          <w:sz w:val="28"/>
          <w:szCs w:val="28"/>
        </w:rPr>
        <w:t>Giao dịch hàng hóa phái sinh tiềm ẩn rủi ro cao, có khả năng tác động lan tỏa đến thị trường tài chính – tiền tệ và an ninh kinh tế. Do đó, cần thiết phải có khuôn khổ pháp lý đầy đủ ở cấp luật để thiết lập các cơ chế quản lý, giám sát, cảnh báo sớm, xử lý vi phạm và giải quyết tranh chấp, bảo đảm an toàn hệ thống. Nếu chỉ điều chỉnh ở cấp luật khung hoặc văn bản dưới luật, các công cụ quản lý đặc thù sẽ khó được thiết kế đầy đủ và hiệu quả.</w:t>
      </w:r>
    </w:p>
    <w:p w14:paraId="5C80D30A" w14:textId="77777777" w:rsidR="00570BA9" w:rsidRPr="00E24417" w:rsidRDefault="00570BA9" w:rsidP="001F10F9">
      <w:pPr>
        <w:pStyle w:val="NormalWeb"/>
        <w:tabs>
          <w:tab w:val="left" w:pos="993"/>
        </w:tabs>
        <w:spacing w:before="120" w:beforeAutospacing="0" w:after="0" w:afterAutospacing="0" w:line="264" w:lineRule="auto"/>
        <w:ind w:firstLine="720"/>
        <w:jc w:val="both"/>
        <w:rPr>
          <w:rStyle w:val="Strong"/>
          <w:b w:val="0"/>
          <w:i/>
          <w:iCs/>
          <w:color w:val="000000"/>
          <w:sz w:val="28"/>
          <w:szCs w:val="28"/>
        </w:rPr>
      </w:pPr>
      <w:r w:rsidRPr="00E24417">
        <w:rPr>
          <w:rStyle w:val="Strong"/>
          <w:b w:val="0"/>
          <w:i/>
          <w:iCs/>
          <w:color w:val="000000"/>
          <w:sz w:val="28"/>
          <w:szCs w:val="28"/>
        </w:rPr>
        <w:t>Thứ bảy, về yêu cầu thể chế hóa chủ trương của Đảng và định hướng phát triển dài hạn.</w:t>
      </w:r>
    </w:p>
    <w:p w14:paraId="58BAC1EE" w14:textId="1700A2FC" w:rsidR="00AA3A96" w:rsidRPr="00E24417" w:rsidRDefault="00570BA9" w:rsidP="001F10F9">
      <w:pPr>
        <w:pStyle w:val="NormalWeb"/>
        <w:tabs>
          <w:tab w:val="left" w:pos="993"/>
        </w:tabs>
        <w:spacing w:before="120" w:beforeAutospacing="0" w:after="0" w:afterAutospacing="0" w:line="264" w:lineRule="auto"/>
        <w:ind w:firstLine="720"/>
        <w:jc w:val="both"/>
        <w:rPr>
          <w:rStyle w:val="Strong"/>
          <w:b w:val="0"/>
          <w:color w:val="000000"/>
          <w:sz w:val="28"/>
          <w:szCs w:val="28"/>
        </w:rPr>
      </w:pPr>
      <w:r w:rsidRPr="00E24417">
        <w:rPr>
          <w:rStyle w:val="Strong"/>
          <w:b w:val="0"/>
          <w:color w:val="000000"/>
          <w:sz w:val="28"/>
          <w:szCs w:val="28"/>
        </w:rPr>
        <w:t xml:space="preserve">Việc xây dựng </w:t>
      </w:r>
      <w:r w:rsidR="00C703F5" w:rsidRPr="00E24417">
        <w:rPr>
          <w:rStyle w:val="Strong"/>
          <w:b w:val="0"/>
          <w:color w:val="000000"/>
          <w:sz w:val="28"/>
          <w:szCs w:val="28"/>
        </w:rPr>
        <w:t>Luật</w:t>
      </w:r>
      <w:r w:rsidRPr="00E24417">
        <w:rPr>
          <w:rStyle w:val="Strong"/>
          <w:b w:val="0"/>
          <w:color w:val="000000"/>
          <w:sz w:val="28"/>
          <w:szCs w:val="28"/>
        </w:rPr>
        <w:t xml:space="preserve"> nhằm cụ thể hóa các chủ trương lớn của Đảng về hoàn thiện thể chế kinh tế thị trường, thúc đẩy đổi mới sáng tạo, chuyển đổi số và hội nhập quốc tế; đồng thời khắc phục các khoảng trống pháp lý, bảo đảm tính đồng bộ của hệ thống pháp luật. Luật sẽ tạo khuôn khổ pháp lý hiện đại, minh bạch, phù hợp thông lệ quốc tế, góp phần thúc đẩy phát triển kinh tế tư nhân và nâng cao năng lực cạnh tranh của nền kinh tế.</w:t>
      </w:r>
      <w:r w:rsidR="000C43E5" w:rsidRPr="00E24417">
        <w:rPr>
          <w:bCs/>
          <w:color w:val="000000"/>
          <w:sz w:val="28"/>
          <w:szCs w:val="28"/>
        </w:rPr>
        <w:t>Bên cạnh đó, việc hoàn thiện khung pháp lý cấp luật cho giao dịch hàng hóa phái sinh là bước đi cụ thể trong thực hiện Nghị quyết số 66-NQ/TW ngày 30</w:t>
      </w:r>
      <w:r w:rsidR="00171F2C" w:rsidRPr="00E24417">
        <w:rPr>
          <w:bCs/>
          <w:color w:val="000000"/>
          <w:sz w:val="28"/>
          <w:szCs w:val="28"/>
        </w:rPr>
        <w:t xml:space="preserve"> tháng </w:t>
      </w:r>
      <w:r w:rsidR="000C43E5" w:rsidRPr="00E24417">
        <w:rPr>
          <w:bCs/>
          <w:color w:val="000000"/>
          <w:sz w:val="28"/>
          <w:szCs w:val="28"/>
        </w:rPr>
        <w:t>4</w:t>
      </w:r>
      <w:r w:rsidR="00171F2C" w:rsidRPr="00E24417">
        <w:rPr>
          <w:bCs/>
          <w:color w:val="000000"/>
          <w:sz w:val="28"/>
          <w:szCs w:val="28"/>
        </w:rPr>
        <w:t xml:space="preserve"> năm </w:t>
      </w:r>
      <w:r w:rsidR="000C43E5" w:rsidRPr="00E24417">
        <w:rPr>
          <w:bCs/>
          <w:color w:val="000000"/>
          <w:sz w:val="28"/>
          <w:szCs w:val="28"/>
        </w:rPr>
        <w:t>2025 về đổi mới công tác xây dựng và thi hành pháp luật, khắc phục những khoảng trống pháp lý hiện nay và bảo đảm sự đồng bộ của hệ thống pháp luật về thị trường hàng hóa. Luật cũng tạo điều kiện thuận lợi để doanh nghiệp tư nhân tham gia sâu hơn vào thị trường phái sinh, góp phần thực hiện mục tiêu phát triển kinh tế tư nhân theo Nghị quyết số 68-NQ/TW ngày 04 tháng 5 năm 2025 của Bộ Chính trị.</w:t>
      </w:r>
    </w:p>
    <w:p w14:paraId="22DCCA28" w14:textId="0E795838" w:rsidR="00AA3A96" w:rsidRPr="00E24417" w:rsidRDefault="00AA3A96" w:rsidP="001F10F9">
      <w:pPr>
        <w:widowControl w:val="0"/>
        <w:tabs>
          <w:tab w:val="right" w:leader="dot" w:pos="7920"/>
        </w:tabs>
        <w:spacing w:before="120" w:line="264" w:lineRule="auto"/>
        <w:rPr>
          <w:rStyle w:val="Strong"/>
          <w:b w:val="0"/>
          <w:color w:val="000000"/>
          <w:sz w:val="28"/>
          <w:szCs w:val="28"/>
        </w:rPr>
      </w:pPr>
      <w:r w:rsidRPr="00E24417">
        <w:rPr>
          <w:rStyle w:val="Strong"/>
          <w:b w:val="0"/>
          <w:color w:val="000000"/>
          <w:sz w:val="28"/>
          <w:szCs w:val="28"/>
        </w:rPr>
        <w:t xml:space="preserve">Từ các cơ sở chính trị, pháp lý và thực tiễn nêu trên, việc xây dựng </w:t>
      </w:r>
      <w:r w:rsidR="00C703F5" w:rsidRPr="00E24417">
        <w:rPr>
          <w:rStyle w:val="Strong"/>
          <w:b w:val="0"/>
          <w:color w:val="000000"/>
          <w:sz w:val="28"/>
          <w:szCs w:val="28"/>
        </w:rPr>
        <w:t>Luật</w:t>
      </w:r>
      <w:r w:rsidRPr="00E24417">
        <w:rPr>
          <w:rStyle w:val="Strong"/>
          <w:b w:val="0"/>
          <w:color w:val="000000"/>
          <w:sz w:val="28"/>
          <w:szCs w:val="28"/>
        </w:rPr>
        <w:t xml:space="preserve"> là yêu cầu khách quan, cấp thiết, đồng thời là giải pháp tối ưu nhằm hoàn thiện hệ thống pháp luật, khắc phục các khoảng trống hiện nay và tạo nền tảng cho thị trường giao dịch hàng hóa phái sinh tại Việt Nam phát triển an toàn, minh bạch, hiệu quả, phù hợp với thông lệ quốc tế.</w:t>
      </w:r>
    </w:p>
    <w:p w14:paraId="536F195C" w14:textId="00C86524" w:rsidR="00F87A87" w:rsidRPr="00E24417" w:rsidRDefault="00F87A87" w:rsidP="001F10F9">
      <w:pPr>
        <w:widowControl w:val="0"/>
        <w:tabs>
          <w:tab w:val="right" w:leader="dot" w:pos="7920"/>
        </w:tabs>
        <w:spacing w:before="120" w:line="264" w:lineRule="auto"/>
        <w:rPr>
          <w:b/>
          <w:sz w:val="28"/>
          <w:szCs w:val="28"/>
          <w:lang w:val="vi-VN"/>
        </w:rPr>
      </w:pPr>
      <w:r w:rsidRPr="00E24417">
        <w:rPr>
          <w:b/>
          <w:sz w:val="28"/>
          <w:szCs w:val="28"/>
          <w:lang w:val="vi-VN"/>
        </w:rPr>
        <w:t>II. MỤC ĐÍCH, QUAN ĐIỂM XÂY DỰNG</w:t>
      </w:r>
      <w:r w:rsidRPr="00E24417">
        <w:rPr>
          <w:b/>
          <w:i/>
          <w:sz w:val="28"/>
          <w:szCs w:val="28"/>
          <w:lang w:val="vi-VN"/>
        </w:rPr>
        <w:t xml:space="preserve"> </w:t>
      </w:r>
      <w:r w:rsidRPr="00E24417">
        <w:rPr>
          <w:b/>
          <w:sz w:val="28"/>
          <w:szCs w:val="28"/>
          <w:lang w:val="vi-VN"/>
        </w:rPr>
        <w:t>CHÍNH SÁCH</w:t>
      </w:r>
    </w:p>
    <w:p w14:paraId="46EC728D" w14:textId="77777777" w:rsidR="00880F18" w:rsidRPr="00E24417" w:rsidRDefault="00880F18" w:rsidP="001F10F9">
      <w:pPr>
        <w:pStyle w:val="NormalWeb"/>
        <w:widowControl w:val="0"/>
        <w:shd w:val="clear" w:color="auto" w:fill="FFFFFF"/>
        <w:spacing w:before="120" w:beforeAutospacing="0" w:after="0" w:afterAutospacing="0" w:line="264" w:lineRule="auto"/>
        <w:ind w:firstLine="720"/>
        <w:jc w:val="both"/>
        <w:rPr>
          <w:color w:val="333333"/>
          <w:sz w:val="28"/>
          <w:szCs w:val="28"/>
          <w:lang w:val="vi-VN"/>
        </w:rPr>
      </w:pPr>
      <w:r w:rsidRPr="00E24417">
        <w:rPr>
          <w:rStyle w:val="Strong"/>
          <w:color w:val="000000"/>
          <w:sz w:val="28"/>
          <w:szCs w:val="28"/>
          <w:lang w:val="vi-VN"/>
        </w:rPr>
        <w:t>1. Mục đích </w:t>
      </w:r>
    </w:p>
    <w:p w14:paraId="479B6450" w14:textId="7800D348" w:rsidR="00C75CC3" w:rsidRPr="00E24417" w:rsidRDefault="00C75CC3" w:rsidP="001F10F9">
      <w:pPr>
        <w:pStyle w:val="NormalWeb"/>
        <w:widowControl w:val="0"/>
        <w:shd w:val="clear" w:color="auto" w:fill="FFFFFF"/>
        <w:spacing w:before="120" w:beforeAutospacing="0" w:after="0" w:afterAutospacing="0" w:line="264" w:lineRule="auto"/>
        <w:ind w:firstLine="720"/>
        <w:jc w:val="both"/>
        <w:rPr>
          <w:color w:val="000000"/>
          <w:spacing w:val="-2"/>
          <w:sz w:val="28"/>
          <w:szCs w:val="28"/>
          <w:lang w:val="vi-VN"/>
        </w:rPr>
      </w:pPr>
      <w:r w:rsidRPr="00E24417">
        <w:rPr>
          <w:color w:val="000000"/>
          <w:spacing w:val="-2"/>
          <w:sz w:val="28"/>
          <w:szCs w:val="28"/>
        </w:rPr>
        <w:t xml:space="preserve">- </w:t>
      </w:r>
      <w:r w:rsidRPr="00E24417">
        <w:rPr>
          <w:color w:val="000000"/>
          <w:spacing w:val="-2"/>
          <w:sz w:val="28"/>
          <w:szCs w:val="28"/>
          <w:lang w:val="vi-VN"/>
        </w:rPr>
        <w:t>Cụ thể hóa đầy đủ các chủ trương, định hướng lớn của Đảng về hoàn thiện thể chế kinh tế thị trường, đổi mới công tác xây dựng và thi hành pháp luật, phát triển kinh tế tư nhân và hội nhập quốc tế theo tinh thần các Nghị quyết số 60-NQ/TW,</w:t>
      </w:r>
      <w:r w:rsidR="00171F2C" w:rsidRPr="00E24417">
        <w:rPr>
          <w:color w:val="000000"/>
          <w:spacing w:val="-2"/>
          <w:sz w:val="28"/>
          <w:szCs w:val="28"/>
        </w:rPr>
        <w:t xml:space="preserve"> Nghị quyết số</w:t>
      </w:r>
      <w:r w:rsidRPr="00E24417">
        <w:rPr>
          <w:color w:val="000000"/>
          <w:spacing w:val="-2"/>
          <w:sz w:val="28"/>
          <w:szCs w:val="28"/>
          <w:lang w:val="vi-VN"/>
        </w:rPr>
        <w:t xml:space="preserve"> 66-NQ/TW và </w:t>
      </w:r>
      <w:r w:rsidR="00171F2C" w:rsidRPr="00E24417">
        <w:rPr>
          <w:color w:val="000000"/>
          <w:spacing w:val="-2"/>
          <w:sz w:val="28"/>
          <w:szCs w:val="28"/>
        </w:rPr>
        <w:t xml:space="preserve">Nghị quyết số </w:t>
      </w:r>
      <w:r w:rsidRPr="00E24417">
        <w:rPr>
          <w:color w:val="000000"/>
          <w:spacing w:val="-2"/>
          <w:sz w:val="28"/>
          <w:szCs w:val="28"/>
          <w:lang w:val="vi-VN"/>
        </w:rPr>
        <w:t xml:space="preserve">68-NQ/TW; qua đó tạo nền tảng pháp lý hiện đại, đồng bộ cho sự phát triển của thị trường giao dịch hàng hóa </w:t>
      </w:r>
      <w:r w:rsidRPr="00E24417">
        <w:rPr>
          <w:color w:val="000000"/>
          <w:spacing w:val="-2"/>
          <w:sz w:val="28"/>
          <w:szCs w:val="28"/>
          <w:lang w:val="vi-VN"/>
        </w:rPr>
        <w:lastRenderedPageBreak/>
        <w:t>phái sinh.</w:t>
      </w:r>
    </w:p>
    <w:p w14:paraId="2F643C23" w14:textId="52958ACB" w:rsidR="00C75CC3" w:rsidRPr="00E24417" w:rsidRDefault="00C75CC3" w:rsidP="001F10F9">
      <w:pPr>
        <w:pStyle w:val="NormalWeb"/>
        <w:widowControl w:val="0"/>
        <w:shd w:val="clear" w:color="auto" w:fill="FFFFFF"/>
        <w:spacing w:before="120" w:beforeAutospacing="0" w:after="0" w:afterAutospacing="0" w:line="264" w:lineRule="auto"/>
        <w:ind w:firstLine="720"/>
        <w:jc w:val="both"/>
        <w:rPr>
          <w:color w:val="000000"/>
          <w:spacing w:val="-2"/>
          <w:sz w:val="28"/>
          <w:szCs w:val="28"/>
          <w:lang w:val="vi-VN"/>
        </w:rPr>
      </w:pPr>
      <w:r w:rsidRPr="00E24417">
        <w:rPr>
          <w:color w:val="000000"/>
          <w:spacing w:val="-2"/>
          <w:sz w:val="28"/>
          <w:szCs w:val="28"/>
        </w:rPr>
        <w:t xml:space="preserve">- </w:t>
      </w:r>
      <w:r w:rsidRPr="00E24417">
        <w:rPr>
          <w:color w:val="000000"/>
          <w:spacing w:val="-2"/>
          <w:sz w:val="28"/>
          <w:szCs w:val="28"/>
          <w:lang w:val="vi-VN"/>
        </w:rPr>
        <w:t>Hoàn thiện khuôn khổ pháp lý theo hướng minh bạch, ổn định và thuận lợi cho hoạt động đầu tư, kinh doanh; thúc đẩy cải cách thủ tục hành chính, tạo môi trường kinh doanh thông thoáng, hỗ trợ doanh nghiệp và các chủ thể thị trường tiếp cận, sử dụng công cụ phái sinh để quản trị rủi ro giá, đồng thời bảo đảm quyền và lợi ích hợp pháp của người tiêu dùng.</w:t>
      </w:r>
    </w:p>
    <w:p w14:paraId="3A5C2ED0" w14:textId="77777777" w:rsidR="00C75CC3" w:rsidRPr="00E24417" w:rsidRDefault="00C75CC3" w:rsidP="001F10F9">
      <w:pPr>
        <w:pStyle w:val="NormalWeb"/>
        <w:widowControl w:val="0"/>
        <w:shd w:val="clear" w:color="auto" w:fill="FFFFFF"/>
        <w:spacing w:before="120" w:beforeAutospacing="0" w:after="0" w:afterAutospacing="0" w:line="264" w:lineRule="auto"/>
        <w:ind w:firstLine="720"/>
        <w:jc w:val="both"/>
        <w:rPr>
          <w:color w:val="000000"/>
          <w:spacing w:val="-2"/>
          <w:sz w:val="28"/>
          <w:szCs w:val="28"/>
        </w:rPr>
      </w:pPr>
      <w:r w:rsidRPr="00E24417">
        <w:rPr>
          <w:color w:val="000000"/>
          <w:spacing w:val="-2"/>
          <w:sz w:val="28"/>
          <w:szCs w:val="28"/>
        </w:rPr>
        <w:t xml:space="preserve">- </w:t>
      </w:r>
      <w:r w:rsidRPr="00E24417">
        <w:rPr>
          <w:color w:val="000000"/>
          <w:spacing w:val="-2"/>
          <w:sz w:val="28"/>
          <w:szCs w:val="28"/>
          <w:lang w:val="vi-VN"/>
        </w:rPr>
        <w:t>Nâng cao hiệu lực, hiệu quả quản lý nhà nước đối với thị trường giao dịch hàng hóa phái sinh theo hướng hiện đại, tăng cường năng lực giám sát, kiểm soát rủi ro hệ thống, bảo đảm thị trường vận hành an toàn, công bằng và phù hợp với thông lệ quốc tế, góp phần phát triển bền vững các ngành hàng và nền kinh tế.</w:t>
      </w:r>
    </w:p>
    <w:p w14:paraId="3B71E07C" w14:textId="70D51A3B" w:rsidR="00880F18" w:rsidRPr="00E24417" w:rsidRDefault="00880F18" w:rsidP="001F10F9">
      <w:pPr>
        <w:pStyle w:val="NormalWeb"/>
        <w:widowControl w:val="0"/>
        <w:shd w:val="clear" w:color="auto" w:fill="FFFFFF"/>
        <w:spacing w:before="120" w:beforeAutospacing="0" w:after="0" w:afterAutospacing="0" w:line="264" w:lineRule="auto"/>
        <w:ind w:firstLine="720"/>
        <w:jc w:val="both"/>
        <w:rPr>
          <w:color w:val="333333"/>
          <w:sz w:val="28"/>
          <w:szCs w:val="28"/>
          <w:lang w:val="vi-VN"/>
        </w:rPr>
      </w:pPr>
      <w:r w:rsidRPr="00E24417">
        <w:rPr>
          <w:rStyle w:val="Strong"/>
          <w:color w:val="000000"/>
          <w:sz w:val="28"/>
          <w:szCs w:val="28"/>
          <w:lang w:val="vi-VN"/>
        </w:rPr>
        <w:t>2. Quan điểm xây dựng</w:t>
      </w:r>
    </w:p>
    <w:p w14:paraId="352F109F" w14:textId="77777777" w:rsidR="00C75CC3" w:rsidRPr="00E24417" w:rsidRDefault="00C75CC3" w:rsidP="001F10F9">
      <w:pPr>
        <w:widowControl w:val="0"/>
        <w:tabs>
          <w:tab w:val="right" w:leader="dot" w:pos="7920"/>
        </w:tabs>
        <w:spacing w:before="120" w:line="264" w:lineRule="auto"/>
        <w:rPr>
          <w:color w:val="000000"/>
          <w:spacing w:val="-2"/>
          <w:sz w:val="28"/>
          <w:szCs w:val="28"/>
        </w:rPr>
      </w:pPr>
      <w:r w:rsidRPr="00E24417">
        <w:rPr>
          <w:color w:val="000000"/>
          <w:spacing w:val="-2"/>
          <w:sz w:val="28"/>
          <w:szCs w:val="28"/>
        </w:rPr>
        <w:t>- Bám sát, cụ thể hóa các chủ trương, đường lối của Đảng và Nhà nước về phát triển nền kinh tế thị trường định hướng xã hội chủ nghĩa, phát triển đồng bộ các loại thị trường và đẩy mạnh hội nhập kinh tế quốc tế.</w:t>
      </w:r>
    </w:p>
    <w:p w14:paraId="699D7090" w14:textId="77777777" w:rsidR="00C75CC3" w:rsidRPr="00E24417" w:rsidRDefault="00C75CC3" w:rsidP="001F10F9">
      <w:pPr>
        <w:widowControl w:val="0"/>
        <w:tabs>
          <w:tab w:val="right" w:leader="dot" w:pos="7920"/>
        </w:tabs>
        <w:spacing w:before="120" w:line="264" w:lineRule="auto"/>
        <w:rPr>
          <w:color w:val="000000"/>
          <w:spacing w:val="-2"/>
          <w:sz w:val="28"/>
          <w:szCs w:val="28"/>
        </w:rPr>
      </w:pPr>
      <w:r w:rsidRPr="00E24417">
        <w:rPr>
          <w:color w:val="000000"/>
          <w:spacing w:val="-2"/>
          <w:sz w:val="28"/>
          <w:szCs w:val="28"/>
        </w:rPr>
        <w:t>- Bảo đảm tính hợp hiến, hợp pháp và tính thống nhất của hệ thống pháp luật, đồng thời nâng cao hiệu quả quản lý nhà nước; xác định rõ phạm vi điều chỉnh của Luật, phân công hợp lý trách nhiệm giữa các cơ quan quản lý, tránh chồng chéo giữa các lĩnh vực thương mại, tài chính, ngân hàng và chứng khoán; bảo đảm sự đồng bộ với các luật có liên quan như Luật Thương mại, Luật Chứng khoán, Luật Doanh nghiệp, Luật Đầu tư, Luật Các tổ chức tín dụng và Luật Phòng, chống rửa tiền.</w:t>
      </w:r>
    </w:p>
    <w:p w14:paraId="57F4251E" w14:textId="77777777" w:rsidR="00C75CC3" w:rsidRPr="00E24417" w:rsidRDefault="00C75CC3" w:rsidP="001F10F9">
      <w:pPr>
        <w:widowControl w:val="0"/>
        <w:tabs>
          <w:tab w:val="right" w:leader="dot" w:pos="7920"/>
        </w:tabs>
        <w:spacing w:before="120" w:line="264" w:lineRule="auto"/>
        <w:rPr>
          <w:color w:val="000000"/>
          <w:spacing w:val="-2"/>
          <w:sz w:val="28"/>
          <w:szCs w:val="28"/>
        </w:rPr>
      </w:pPr>
      <w:r w:rsidRPr="00E24417">
        <w:rPr>
          <w:color w:val="000000"/>
          <w:spacing w:val="-2"/>
          <w:sz w:val="28"/>
          <w:szCs w:val="28"/>
        </w:rPr>
        <w:t>- Thiết lập khung pháp lý ở cấp luật theo hướng mở, linh hoạt và có lộ trình phù hợp, trong đó Luật quy định các nguyên tắc, cấu phần cốt lõi và cơ chế vận hành chung, đồng thời cho phép triển khai từng bước theo mức độ phát triển của thị trường và từng nhóm hàng hóa.</w:t>
      </w:r>
    </w:p>
    <w:p w14:paraId="4C40E3D0" w14:textId="77777777" w:rsidR="00C75CC3" w:rsidRPr="00E24417" w:rsidRDefault="00C75CC3" w:rsidP="001F10F9">
      <w:pPr>
        <w:widowControl w:val="0"/>
        <w:tabs>
          <w:tab w:val="right" w:leader="dot" w:pos="7920"/>
        </w:tabs>
        <w:spacing w:before="120" w:line="264" w:lineRule="auto"/>
        <w:rPr>
          <w:color w:val="000000"/>
          <w:spacing w:val="-2"/>
          <w:sz w:val="28"/>
          <w:szCs w:val="28"/>
        </w:rPr>
      </w:pPr>
      <w:r w:rsidRPr="00E24417">
        <w:rPr>
          <w:color w:val="000000"/>
          <w:spacing w:val="-2"/>
          <w:sz w:val="28"/>
          <w:szCs w:val="28"/>
        </w:rPr>
        <w:t>- Xuất phát từ thực tiễn thị trường và yêu cầu phát triển kinh tế, bảo đảm chính sách được xây dựng trên cơ sở các vấn đề đã được xác định rõ như nhu cầu phòng ngừa rủi ro giá, mức độ phụ thuộc vào thị trường quốc tế và các khoảng trống pháp lý hiện hành; qua đó giải quyết đúng và trúng các điểm nghẽn của thị trường.</w:t>
      </w:r>
    </w:p>
    <w:p w14:paraId="70707C53" w14:textId="77777777" w:rsidR="00C75CC3" w:rsidRPr="00E24417" w:rsidRDefault="00C75CC3" w:rsidP="001F10F9">
      <w:pPr>
        <w:widowControl w:val="0"/>
        <w:tabs>
          <w:tab w:val="right" w:leader="dot" w:pos="7920"/>
        </w:tabs>
        <w:spacing w:before="120" w:line="264" w:lineRule="auto"/>
        <w:rPr>
          <w:color w:val="000000"/>
          <w:spacing w:val="-2"/>
          <w:sz w:val="28"/>
          <w:szCs w:val="28"/>
        </w:rPr>
      </w:pPr>
      <w:r w:rsidRPr="00E24417">
        <w:rPr>
          <w:color w:val="000000"/>
          <w:spacing w:val="-2"/>
          <w:sz w:val="28"/>
          <w:szCs w:val="28"/>
        </w:rPr>
        <w:t>- Kết hợp hài hòa giữa mục tiêu phát triển thị trường và yêu cầu kiểm soát rủi ro, bảo đảm vừa thúc đẩy mở rộng quy mô, đa dạng hóa sản phẩm và chủ thể tham gia, vừa kiểm soát hiệu quả rủi ro hệ thống thông qua các cơ chế như bù trừ tập trung, ký quỹ và giám sát giao dịch.</w:t>
      </w:r>
    </w:p>
    <w:p w14:paraId="265E6D39" w14:textId="77777777" w:rsidR="00C75CC3" w:rsidRPr="00E24417" w:rsidRDefault="00C75CC3" w:rsidP="001F10F9">
      <w:pPr>
        <w:widowControl w:val="0"/>
        <w:tabs>
          <w:tab w:val="right" w:leader="dot" w:pos="7920"/>
        </w:tabs>
        <w:spacing w:before="120" w:line="264" w:lineRule="auto"/>
        <w:rPr>
          <w:color w:val="000000"/>
          <w:spacing w:val="-2"/>
          <w:sz w:val="28"/>
          <w:szCs w:val="28"/>
        </w:rPr>
      </w:pPr>
      <w:r w:rsidRPr="00E24417">
        <w:rPr>
          <w:color w:val="000000"/>
          <w:spacing w:val="-2"/>
          <w:sz w:val="28"/>
          <w:szCs w:val="28"/>
        </w:rPr>
        <w:t>- Bảo đảm sự gắn kết chặt chẽ giữa thị trường phái sinh và thị trường hàng hóa thực, phát triển các sản phẩm phái sinh nhằm hỗ trợ hình thành giá, nâng cao hiệu quả chuỗi cung ứng và phục vụ nhu cầu thực của doanh nghiệp, tránh tách rời khỏi nền tảng thị trường vật chất.</w:t>
      </w:r>
    </w:p>
    <w:p w14:paraId="0F90DAEF" w14:textId="77777777" w:rsidR="00C75CC3" w:rsidRPr="00E24417" w:rsidRDefault="00C75CC3" w:rsidP="001F10F9">
      <w:pPr>
        <w:widowControl w:val="0"/>
        <w:tabs>
          <w:tab w:val="right" w:leader="dot" w:pos="7920"/>
        </w:tabs>
        <w:spacing w:before="120" w:line="264" w:lineRule="auto"/>
        <w:rPr>
          <w:color w:val="000000"/>
          <w:spacing w:val="-2"/>
          <w:sz w:val="28"/>
          <w:szCs w:val="28"/>
        </w:rPr>
      </w:pPr>
      <w:r w:rsidRPr="00E24417">
        <w:rPr>
          <w:color w:val="000000"/>
          <w:spacing w:val="-2"/>
          <w:sz w:val="28"/>
          <w:szCs w:val="28"/>
        </w:rPr>
        <w:lastRenderedPageBreak/>
        <w:t>- Tiếp thu có chọn lọc kinh nghiệm quốc tế, phù hợp với điều kiện Việt Nam, áp dụng các chuẩn mực về minh bạch, quản trị rủi ro và hạ tầng thị trường hiện đại, đồng thời điều chỉnh linh hoạt theo trình độ phát triển của thị trường và năng lực của các chủ thể trong nước.</w:t>
      </w:r>
    </w:p>
    <w:p w14:paraId="00C2D1A9" w14:textId="77777777" w:rsidR="00C75CC3" w:rsidRPr="00E24417" w:rsidRDefault="00C75CC3" w:rsidP="001F10F9">
      <w:pPr>
        <w:widowControl w:val="0"/>
        <w:tabs>
          <w:tab w:val="right" w:leader="dot" w:pos="7920"/>
        </w:tabs>
        <w:spacing w:before="120" w:line="264" w:lineRule="auto"/>
        <w:rPr>
          <w:color w:val="000000"/>
          <w:spacing w:val="-2"/>
          <w:sz w:val="28"/>
          <w:szCs w:val="28"/>
        </w:rPr>
      </w:pPr>
      <w:r w:rsidRPr="00E24417">
        <w:rPr>
          <w:color w:val="000000"/>
          <w:spacing w:val="-2"/>
          <w:sz w:val="28"/>
          <w:szCs w:val="28"/>
        </w:rPr>
        <w:t>- Khuyến khích ứng dụng công nghệ và đổi mới sáng tạo trong tổ chức giao dịch, giám sát thị trường và quản lý dữ liệu, gắn với yêu cầu bảo đảm an toàn hệ thống, an ninh tài chính và phát triển thị trường bền vững.</w:t>
      </w:r>
    </w:p>
    <w:p w14:paraId="682CB650" w14:textId="7E3CE24E" w:rsidR="00F87A87" w:rsidRPr="00E24417" w:rsidRDefault="00F87A87" w:rsidP="001F10F9">
      <w:pPr>
        <w:widowControl w:val="0"/>
        <w:tabs>
          <w:tab w:val="right" w:leader="dot" w:pos="7920"/>
        </w:tabs>
        <w:spacing w:before="120" w:line="264" w:lineRule="auto"/>
        <w:rPr>
          <w:b/>
          <w:spacing w:val="6"/>
          <w:sz w:val="28"/>
          <w:szCs w:val="28"/>
        </w:rPr>
      </w:pPr>
      <w:r w:rsidRPr="00E24417">
        <w:rPr>
          <w:b/>
          <w:spacing w:val="6"/>
          <w:sz w:val="28"/>
          <w:szCs w:val="28"/>
          <w:lang w:val="vi-VN"/>
        </w:rPr>
        <w:t>III. PHẠM VI, ĐỐI TƯỢNG ÁP DỤNG CỦA CHÍNH SÁCH</w:t>
      </w:r>
    </w:p>
    <w:p w14:paraId="35ECD703" w14:textId="2CFDA153" w:rsidR="003840D6" w:rsidRPr="00E24417" w:rsidRDefault="00063847" w:rsidP="001F10F9">
      <w:pPr>
        <w:widowControl w:val="0"/>
        <w:tabs>
          <w:tab w:val="left" w:pos="2780"/>
          <w:tab w:val="center" w:pos="4631"/>
        </w:tabs>
        <w:autoSpaceDE w:val="0"/>
        <w:autoSpaceDN w:val="0"/>
        <w:adjustRightInd w:val="0"/>
        <w:spacing w:before="120" w:line="264" w:lineRule="auto"/>
        <w:rPr>
          <w:b/>
          <w:bCs/>
          <w:sz w:val="28"/>
          <w:szCs w:val="28"/>
          <w:lang w:val="vi-VN"/>
        </w:rPr>
      </w:pPr>
      <w:r w:rsidRPr="00E24417">
        <w:rPr>
          <w:b/>
          <w:bCs/>
          <w:sz w:val="28"/>
          <w:szCs w:val="28"/>
        </w:rPr>
        <w:t>1</w:t>
      </w:r>
      <w:r w:rsidR="003840D6" w:rsidRPr="00E24417">
        <w:rPr>
          <w:b/>
          <w:bCs/>
          <w:sz w:val="28"/>
          <w:szCs w:val="28"/>
          <w:lang w:val="vi-VN"/>
        </w:rPr>
        <w:t>. Phạm vi áp dụng</w:t>
      </w:r>
    </w:p>
    <w:p w14:paraId="7276EAB7" w14:textId="77777777" w:rsidR="00045A6A" w:rsidRPr="00E24417" w:rsidRDefault="00045A6A" w:rsidP="001F10F9">
      <w:pPr>
        <w:pStyle w:val="NormalWeb"/>
        <w:widowControl w:val="0"/>
        <w:shd w:val="clear" w:color="auto" w:fill="FFFFFF"/>
        <w:spacing w:before="120" w:beforeAutospacing="0" w:after="0" w:afterAutospacing="0" w:line="264" w:lineRule="auto"/>
        <w:ind w:firstLine="720"/>
        <w:jc w:val="both"/>
        <w:rPr>
          <w:sz w:val="28"/>
          <w:szCs w:val="28"/>
        </w:rPr>
      </w:pPr>
      <w:r w:rsidRPr="00E24417">
        <w:rPr>
          <w:sz w:val="28"/>
          <w:szCs w:val="28"/>
        </w:rPr>
        <w:t>Chính sách quy định về hoạt động giao dịch hàng hóa phái sinh tại Việt Nam, bao gồm cả giao dịch phái sinh và các giao dịch hàng hóa gắn với thực hiện hợp đồng trong thị trường có tổ chức; áp dụng đối với thị trường giao dịch tập trung qua Sở giao dịch hàng hóa và thị trường phi tập trung (OTC).</w:t>
      </w:r>
    </w:p>
    <w:p w14:paraId="57176EC2" w14:textId="77777777" w:rsidR="00045A6A" w:rsidRPr="00E24417" w:rsidRDefault="00045A6A" w:rsidP="001F10F9">
      <w:pPr>
        <w:pStyle w:val="NormalWeb"/>
        <w:widowControl w:val="0"/>
        <w:shd w:val="clear" w:color="auto" w:fill="FFFFFF"/>
        <w:spacing w:before="120" w:beforeAutospacing="0" w:after="0" w:afterAutospacing="0" w:line="264" w:lineRule="auto"/>
        <w:ind w:firstLine="720"/>
        <w:jc w:val="both"/>
        <w:rPr>
          <w:sz w:val="28"/>
          <w:szCs w:val="28"/>
        </w:rPr>
      </w:pPr>
      <w:r w:rsidRPr="00E24417">
        <w:rPr>
          <w:sz w:val="28"/>
          <w:szCs w:val="28"/>
        </w:rPr>
        <w:t>Phạm vi điều chỉnh bao gồm các công cụ phái sinh có tài sản cơ sở là hàng hóa; các hoạt động giao dịch, ký quỹ, thanh toán bù trừ, lưu ký, giao nhận hàng hóa, quản lý vị thế và quản trị rủi ro; tổ chức và hoạt động của các thiết chế thị trường, bao gồm Sở giao dịch hàng hóa, trung tâm thanh toán bù trừ và các tổ chức cung cấp hạ tầng thị trường. Đồng thời, chính sách điều chỉnh cơ chế tiêu chuẩn hóa hợp đồng, công bố thông tin, giám sát giao dịch, phòng ngừa và xử lý vi phạm; hoạt động giao dịch liên thông với thị trường quốc tế và giao dịch xuyên biên giới; quyền và nghĩa vụ của các chủ thể tham gia thị trường; cơ chế bảo vệ nhà đầu tư và nguyên tắc quản lý nhà nước, phối hợp giữa các cơ quan trong quản lý, giám sát thị trường.</w:t>
      </w:r>
    </w:p>
    <w:p w14:paraId="3900E11E" w14:textId="77777777" w:rsidR="00045A6A" w:rsidRPr="00E24417" w:rsidRDefault="00045A6A" w:rsidP="001F10F9">
      <w:pPr>
        <w:pStyle w:val="NormalWeb"/>
        <w:widowControl w:val="0"/>
        <w:shd w:val="clear" w:color="auto" w:fill="FFFFFF"/>
        <w:spacing w:before="120" w:beforeAutospacing="0" w:after="0" w:afterAutospacing="0" w:line="264" w:lineRule="auto"/>
        <w:ind w:firstLine="720"/>
        <w:jc w:val="both"/>
        <w:rPr>
          <w:sz w:val="28"/>
          <w:szCs w:val="28"/>
        </w:rPr>
      </w:pPr>
      <w:r w:rsidRPr="00E24417">
        <w:rPr>
          <w:sz w:val="28"/>
          <w:szCs w:val="28"/>
        </w:rPr>
        <w:t>Bên cạnh đó, chính sách xác lập nguyên tắc khuyến khích giao dịch tập trung qua Sở giao dịch hàng hóa; định hướng tổ chức Sở giao dịch theo hướng tập trung, hiệu quả và giao Chính phủ quy định chi tiết; đồng thời quy định cơ chế giải quyết tranh chấp và sàn đấu giá hàng hóa nhằm bảo đảm thị trường vận hành minh bạch, an toàn và phù hợp với thông lệ quốc tế.</w:t>
      </w:r>
    </w:p>
    <w:p w14:paraId="694A3D11" w14:textId="37A94743" w:rsidR="003840D6" w:rsidRPr="00E24417" w:rsidRDefault="00063847" w:rsidP="001F10F9">
      <w:pPr>
        <w:pStyle w:val="NormalWeb"/>
        <w:widowControl w:val="0"/>
        <w:shd w:val="clear" w:color="auto" w:fill="FFFFFF"/>
        <w:spacing w:before="120" w:beforeAutospacing="0" w:after="0" w:afterAutospacing="0" w:line="264" w:lineRule="auto"/>
        <w:ind w:firstLine="720"/>
        <w:jc w:val="both"/>
        <w:rPr>
          <w:b/>
          <w:bCs/>
          <w:sz w:val="28"/>
          <w:szCs w:val="28"/>
          <w:lang w:val="vi-VN"/>
        </w:rPr>
      </w:pPr>
      <w:r w:rsidRPr="00E24417">
        <w:rPr>
          <w:b/>
          <w:bCs/>
          <w:sz w:val="28"/>
          <w:szCs w:val="28"/>
        </w:rPr>
        <w:t>2</w:t>
      </w:r>
      <w:r w:rsidR="003840D6" w:rsidRPr="00E24417">
        <w:rPr>
          <w:b/>
          <w:bCs/>
          <w:sz w:val="28"/>
          <w:szCs w:val="28"/>
          <w:lang w:val="vi-VN"/>
        </w:rPr>
        <w:t>. Đối tượng áp dụng</w:t>
      </w:r>
    </w:p>
    <w:p w14:paraId="7A90988F" w14:textId="4747496C" w:rsidR="000E2235" w:rsidRPr="00E24417" w:rsidRDefault="000E2235" w:rsidP="001F10F9">
      <w:pPr>
        <w:widowControl w:val="0"/>
        <w:tabs>
          <w:tab w:val="right" w:leader="dot" w:pos="7920"/>
        </w:tabs>
        <w:spacing w:before="120" w:line="264" w:lineRule="auto"/>
        <w:rPr>
          <w:sz w:val="28"/>
          <w:szCs w:val="28"/>
        </w:rPr>
      </w:pPr>
      <w:r w:rsidRPr="00E24417">
        <w:rPr>
          <w:sz w:val="28"/>
          <w:szCs w:val="28"/>
        </w:rPr>
        <w:t>- Sở giao dịch hàng hóa; trung tâm thanh toán bù trừ; các tổ chức cung cấp hạ tầng thị trường (lưu ký, kho bãi, giao nhận, kiểm định chất lượng hàng hóa);</w:t>
      </w:r>
    </w:p>
    <w:p w14:paraId="18399658" w14:textId="53F47362" w:rsidR="000E2235" w:rsidRPr="00E24417" w:rsidRDefault="000E2235" w:rsidP="001F10F9">
      <w:pPr>
        <w:widowControl w:val="0"/>
        <w:tabs>
          <w:tab w:val="right" w:leader="dot" w:pos="7920"/>
        </w:tabs>
        <w:spacing w:before="120" w:line="264" w:lineRule="auto"/>
        <w:rPr>
          <w:sz w:val="28"/>
          <w:szCs w:val="28"/>
        </w:rPr>
      </w:pPr>
      <w:r w:rsidRPr="00E24417">
        <w:rPr>
          <w:sz w:val="28"/>
          <w:szCs w:val="28"/>
        </w:rPr>
        <w:t>- Thành viên giao dịch, thành viên kinh doanh, thành viên bù trừ và các tổ chức trung gian khác tham gia thị trường;</w:t>
      </w:r>
    </w:p>
    <w:p w14:paraId="74497320" w14:textId="3B77CEA7" w:rsidR="000E2235" w:rsidRPr="00E24417" w:rsidRDefault="000E2235" w:rsidP="001F10F9">
      <w:pPr>
        <w:widowControl w:val="0"/>
        <w:tabs>
          <w:tab w:val="right" w:leader="dot" w:pos="7920"/>
        </w:tabs>
        <w:spacing w:before="120" w:line="264" w:lineRule="auto"/>
        <w:rPr>
          <w:sz w:val="28"/>
          <w:szCs w:val="28"/>
        </w:rPr>
      </w:pPr>
      <w:r w:rsidRPr="00E24417">
        <w:rPr>
          <w:sz w:val="28"/>
          <w:szCs w:val="28"/>
        </w:rPr>
        <w:t>- Tổ chức, cá nhân tham gia giao dịch hàng hóa phái sinh, bao gồm nhà đầu tư, doanh nghiệp sản xuất, kinh doanh, xuất nhập khẩu hàng hóa;</w:t>
      </w:r>
    </w:p>
    <w:p w14:paraId="40D28591" w14:textId="6ED6190D" w:rsidR="000E2235" w:rsidRPr="00E24417" w:rsidRDefault="000E2235" w:rsidP="001F10F9">
      <w:pPr>
        <w:widowControl w:val="0"/>
        <w:tabs>
          <w:tab w:val="right" w:leader="dot" w:pos="7920"/>
        </w:tabs>
        <w:spacing w:before="120" w:line="264" w:lineRule="auto"/>
        <w:rPr>
          <w:sz w:val="28"/>
          <w:szCs w:val="28"/>
        </w:rPr>
      </w:pPr>
      <w:r w:rsidRPr="00E24417">
        <w:rPr>
          <w:sz w:val="28"/>
          <w:szCs w:val="28"/>
        </w:rPr>
        <w:t>- Ngân hàng thương mại, tổ chức tín dụng và các tổ chức cung cấp dịch vụ thanh toán, ký quỹ, tài chính có liên quan;</w:t>
      </w:r>
    </w:p>
    <w:p w14:paraId="675AD7BA" w14:textId="223E9C11" w:rsidR="000E2235" w:rsidRPr="00E24417" w:rsidRDefault="000E2235" w:rsidP="001F10F9">
      <w:pPr>
        <w:widowControl w:val="0"/>
        <w:tabs>
          <w:tab w:val="right" w:leader="dot" w:pos="7920"/>
        </w:tabs>
        <w:spacing w:before="120" w:line="264" w:lineRule="auto"/>
        <w:rPr>
          <w:sz w:val="28"/>
          <w:szCs w:val="28"/>
        </w:rPr>
      </w:pPr>
      <w:r w:rsidRPr="00E24417">
        <w:rPr>
          <w:sz w:val="28"/>
          <w:szCs w:val="28"/>
        </w:rPr>
        <w:lastRenderedPageBreak/>
        <w:t>- Tổ chức, cá nhân trong và ngoài nước tham gia giao dịch qua Sở giao dịch hàng hóa, giao dịch OTC, giao dịch liên thông hoặc giao dịch xuyên biên giới;</w:t>
      </w:r>
    </w:p>
    <w:p w14:paraId="5B3531DE" w14:textId="3491C981" w:rsidR="000E2235" w:rsidRPr="00E24417" w:rsidRDefault="000E2235" w:rsidP="001F10F9">
      <w:pPr>
        <w:widowControl w:val="0"/>
        <w:tabs>
          <w:tab w:val="right" w:leader="dot" w:pos="7920"/>
        </w:tabs>
        <w:spacing w:before="120" w:line="264" w:lineRule="auto"/>
        <w:rPr>
          <w:sz w:val="28"/>
          <w:szCs w:val="28"/>
        </w:rPr>
      </w:pPr>
      <w:r w:rsidRPr="00E24417">
        <w:rPr>
          <w:sz w:val="28"/>
          <w:szCs w:val="28"/>
        </w:rPr>
        <w:t>- Cơ quan quản lý nhà nước và các tổ chức, cá nhân khác có liên quan đến hoạt động giao dịch hàng hóa phái sinh.</w:t>
      </w:r>
    </w:p>
    <w:p w14:paraId="42716378" w14:textId="268519A2" w:rsidR="00063847" w:rsidRPr="00E24417" w:rsidRDefault="00063847" w:rsidP="001F10F9">
      <w:pPr>
        <w:widowControl w:val="0"/>
        <w:tabs>
          <w:tab w:val="right" w:leader="dot" w:pos="7920"/>
        </w:tabs>
        <w:spacing w:before="120" w:line="264" w:lineRule="auto"/>
        <w:rPr>
          <w:b/>
          <w:spacing w:val="6"/>
          <w:sz w:val="28"/>
          <w:szCs w:val="28"/>
        </w:rPr>
      </w:pPr>
      <w:r w:rsidRPr="00E24417">
        <w:rPr>
          <w:b/>
          <w:bCs/>
          <w:sz w:val="28"/>
          <w:szCs w:val="28"/>
        </w:rPr>
        <w:t xml:space="preserve">3. </w:t>
      </w:r>
      <w:r w:rsidRPr="00E24417">
        <w:rPr>
          <w:b/>
          <w:bCs/>
          <w:spacing w:val="6"/>
          <w:sz w:val="28"/>
          <w:szCs w:val="28"/>
        </w:rPr>
        <w:t>Về tên</w:t>
      </w:r>
      <w:r w:rsidRPr="00E24417">
        <w:rPr>
          <w:b/>
          <w:spacing w:val="6"/>
          <w:sz w:val="28"/>
          <w:szCs w:val="28"/>
        </w:rPr>
        <w:t xml:space="preserve"> gọi của dự án Luật</w:t>
      </w:r>
    </w:p>
    <w:p w14:paraId="2DC1F2A7" w14:textId="567C102F" w:rsidR="00063847" w:rsidRPr="00E24417" w:rsidRDefault="00063847" w:rsidP="001F10F9">
      <w:pPr>
        <w:widowControl w:val="0"/>
        <w:tabs>
          <w:tab w:val="right" w:leader="dot" w:pos="7920"/>
        </w:tabs>
        <w:spacing w:before="120" w:line="264" w:lineRule="auto"/>
        <w:rPr>
          <w:bCs/>
          <w:spacing w:val="6"/>
          <w:sz w:val="28"/>
          <w:szCs w:val="28"/>
        </w:rPr>
      </w:pPr>
      <w:r w:rsidRPr="00E24417">
        <w:rPr>
          <w:bCs/>
          <w:spacing w:val="6"/>
          <w:sz w:val="28"/>
          <w:szCs w:val="28"/>
        </w:rPr>
        <w:t>Tên gọi “Luật Giao dịch hàng hóa phái sinh” được lựa chọn trên cơ sở cân nhắc tổng thể về phạm vi điều chỉnh, định hướng chính sách, kỹ thuật lập pháp và thông lệ quốc tế, bảo đảm phản ánh đúng nội hàm của dự án Luật.</w:t>
      </w:r>
    </w:p>
    <w:p w14:paraId="3E003DD8" w14:textId="7085B4E9" w:rsidR="00063847" w:rsidRPr="00E24417" w:rsidRDefault="00063847" w:rsidP="001F10F9">
      <w:pPr>
        <w:widowControl w:val="0"/>
        <w:tabs>
          <w:tab w:val="right" w:leader="dot" w:pos="7920"/>
        </w:tabs>
        <w:spacing w:before="120" w:line="264" w:lineRule="auto"/>
        <w:rPr>
          <w:bCs/>
          <w:spacing w:val="6"/>
          <w:sz w:val="28"/>
          <w:szCs w:val="28"/>
        </w:rPr>
      </w:pPr>
      <w:r w:rsidRPr="00E24417">
        <w:rPr>
          <w:bCs/>
          <w:spacing w:val="6"/>
          <w:sz w:val="28"/>
          <w:szCs w:val="28"/>
        </w:rPr>
        <w:t>Về cách tiếp cận, tên Luật được cấu trúc theo hướng “giao dịch + đối tượng điều chỉnh”, trong đó đối tượng là “hàng hóa phái sinh” – tức các công cụ phái sinh có tài sản cơ sở là hàng hóa. Cách đặt tên này giúp xác định rõ phạm vi điều chỉnh ngay từ tên gọi, nhấn mạnh Luật chỉ điều chỉnh một phân khúc cụ thể của thị trường phái sinh gắn với hàng hóa, không bao quát toàn bộ các loại hình phái sinh nói chung.</w:t>
      </w:r>
    </w:p>
    <w:p w14:paraId="0EF5068A" w14:textId="1A977595" w:rsidR="00063847" w:rsidRPr="00E24417" w:rsidRDefault="00063847" w:rsidP="001F10F9">
      <w:pPr>
        <w:widowControl w:val="0"/>
        <w:tabs>
          <w:tab w:val="right" w:leader="dot" w:pos="7920"/>
        </w:tabs>
        <w:spacing w:before="120" w:line="264" w:lineRule="auto"/>
        <w:rPr>
          <w:bCs/>
          <w:spacing w:val="6"/>
          <w:sz w:val="28"/>
          <w:szCs w:val="28"/>
        </w:rPr>
      </w:pPr>
      <w:r w:rsidRPr="00E24417">
        <w:rPr>
          <w:bCs/>
          <w:spacing w:val="6"/>
          <w:sz w:val="28"/>
          <w:szCs w:val="28"/>
        </w:rPr>
        <w:t xml:space="preserve">Trong quá trình xây dựng, cơ quan soạn thảo đã cân nhắc giữa các phương án như </w:t>
      </w:r>
      <w:r w:rsidRPr="00E24417">
        <w:rPr>
          <w:bCs/>
          <w:i/>
          <w:iCs/>
          <w:spacing w:val="6"/>
          <w:sz w:val="28"/>
          <w:szCs w:val="28"/>
        </w:rPr>
        <w:t>“Luật Giao dịch phái sinh hàng hóa</w:t>
      </w:r>
      <w:r w:rsidRPr="00E24417">
        <w:rPr>
          <w:bCs/>
          <w:spacing w:val="6"/>
          <w:sz w:val="28"/>
          <w:szCs w:val="28"/>
        </w:rPr>
        <w:t>” và “</w:t>
      </w:r>
      <w:r w:rsidRPr="00E24417">
        <w:rPr>
          <w:bCs/>
          <w:i/>
          <w:iCs/>
          <w:spacing w:val="6"/>
          <w:sz w:val="28"/>
          <w:szCs w:val="28"/>
        </w:rPr>
        <w:t>Luật Giao dịch hàng hóa phái sinh</w:t>
      </w:r>
      <w:r w:rsidRPr="00E24417">
        <w:rPr>
          <w:bCs/>
          <w:spacing w:val="6"/>
          <w:sz w:val="28"/>
          <w:szCs w:val="28"/>
        </w:rPr>
        <w:t>”. Mặc dù cả hai cách diễn đạt đều có nội hàm tương đương, phương án “</w:t>
      </w:r>
      <w:r w:rsidRPr="00E24417">
        <w:rPr>
          <w:bCs/>
          <w:i/>
          <w:iCs/>
          <w:spacing w:val="6"/>
          <w:sz w:val="28"/>
          <w:szCs w:val="28"/>
        </w:rPr>
        <w:t>hàng hóa phái sinh</w:t>
      </w:r>
      <w:r w:rsidRPr="00E24417">
        <w:rPr>
          <w:bCs/>
          <w:spacing w:val="6"/>
          <w:sz w:val="28"/>
          <w:szCs w:val="28"/>
        </w:rPr>
        <w:t>” được lựa chọn nhằm thể hiện rõ định hướng tiếp cận của Luật là xuất phát từ thị trường hàng hóa và nhu cầu quản trị rủi ro giá của hàng hóa cơ sở, thay vì tiếp cận thuần túy từ góc độ công cụ tài chính.</w:t>
      </w:r>
    </w:p>
    <w:p w14:paraId="278C8FF9" w14:textId="77777777" w:rsidR="00063847" w:rsidRPr="00E24417" w:rsidRDefault="00063847" w:rsidP="001F10F9">
      <w:pPr>
        <w:widowControl w:val="0"/>
        <w:tabs>
          <w:tab w:val="right" w:leader="dot" w:pos="7920"/>
        </w:tabs>
        <w:spacing w:before="120" w:line="264" w:lineRule="auto"/>
        <w:rPr>
          <w:bCs/>
          <w:spacing w:val="6"/>
          <w:sz w:val="28"/>
          <w:szCs w:val="28"/>
        </w:rPr>
      </w:pPr>
      <w:r w:rsidRPr="00E24417">
        <w:rPr>
          <w:bCs/>
          <w:spacing w:val="6"/>
          <w:sz w:val="28"/>
          <w:szCs w:val="28"/>
        </w:rPr>
        <w:t>Cách đặt tên này vừa phản ánh đầy đủ đặc thù của thị trường (gắn với hàng hóa vật chất, cơ chế hình thành giá và chuỗi cung ứng), vừa bao quát các yếu tố tài chính trong giao dịch, đồng thời tránh cách hiểu thiên về thị trường tài chính nói chung. Qua đó, bảo đảm phù hợp với mục tiêu xây dựng và phát triển thị trường giao dịch hàng hóa phái sinh tại Việt Nam.</w:t>
      </w:r>
    </w:p>
    <w:p w14:paraId="7CCE43BD" w14:textId="3F868AEE" w:rsidR="007154C7" w:rsidRPr="00E24417" w:rsidRDefault="007154C7" w:rsidP="001F10F9">
      <w:pPr>
        <w:widowControl w:val="0"/>
        <w:tabs>
          <w:tab w:val="right" w:leader="dot" w:pos="7920"/>
        </w:tabs>
        <w:spacing w:before="120" w:line="264" w:lineRule="auto"/>
        <w:rPr>
          <w:b/>
          <w:sz w:val="28"/>
          <w:szCs w:val="28"/>
          <w:lang w:val="vi-VN"/>
        </w:rPr>
      </w:pPr>
      <w:r w:rsidRPr="00E24417">
        <w:rPr>
          <w:b/>
          <w:sz w:val="28"/>
          <w:szCs w:val="28"/>
          <w:lang w:val="vi-VN"/>
        </w:rPr>
        <w:t>IV. QUÁ TRÌNH XÂY DỰNG CHÍNH SÁCH</w:t>
      </w:r>
    </w:p>
    <w:p w14:paraId="79E3F03B" w14:textId="5A20C55B" w:rsidR="007154C7" w:rsidRPr="00E24417" w:rsidRDefault="00E5042D" w:rsidP="001F10F9">
      <w:pPr>
        <w:widowControl w:val="0"/>
        <w:tabs>
          <w:tab w:val="right" w:leader="dot" w:pos="7920"/>
        </w:tabs>
        <w:spacing w:before="120" w:line="264" w:lineRule="auto"/>
        <w:rPr>
          <w:sz w:val="28"/>
          <w:szCs w:val="28"/>
          <w:lang w:val="vi-VN"/>
        </w:rPr>
      </w:pPr>
      <w:r w:rsidRPr="00E24417">
        <w:rPr>
          <w:sz w:val="28"/>
          <w:szCs w:val="28"/>
          <w:lang w:val="vi-VN"/>
        </w:rPr>
        <w:t xml:space="preserve">Thực hiện phân công của Chính phủ, Bộ </w:t>
      </w:r>
      <w:r w:rsidR="00550856" w:rsidRPr="00E24417">
        <w:rPr>
          <w:sz w:val="28"/>
          <w:szCs w:val="28"/>
          <w:lang w:val="vi-VN"/>
        </w:rPr>
        <w:t>Công Thương</w:t>
      </w:r>
      <w:r w:rsidRPr="00E24417">
        <w:rPr>
          <w:sz w:val="28"/>
          <w:szCs w:val="28"/>
          <w:lang w:val="vi-VN"/>
        </w:rPr>
        <w:t xml:space="preserve"> đã thực hiện các trình tự, thủ tục theo quy định của Luật Ban hành văn bản quy phạm pháp luật như sau:</w:t>
      </w:r>
    </w:p>
    <w:p w14:paraId="453437A1" w14:textId="17B0FB5F" w:rsidR="00E5042D" w:rsidRPr="00E24417" w:rsidRDefault="00E5042D" w:rsidP="001F10F9">
      <w:pPr>
        <w:widowControl w:val="0"/>
        <w:tabs>
          <w:tab w:val="right" w:leader="dot" w:pos="7920"/>
        </w:tabs>
        <w:spacing w:before="120" w:line="264" w:lineRule="auto"/>
        <w:rPr>
          <w:sz w:val="28"/>
          <w:szCs w:val="28"/>
          <w:lang w:val="vi-VN"/>
        </w:rPr>
      </w:pPr>
      <w:r w:rsidRPr="00E24417">
        <w:rPr>
          <w:sz w:val="28"/>
          <w:szCs w:val="28"/>
          <w:lang w:val="vi-VN"/>
        </w:rPr>
        <w:t>1. Thành lập Tổ soạn thảo xây dựng dự án Luật, phân công xây dựng chính sách.</w:t>
      </w:r>
    </w:p>
    <w:p w14:paraId="7BA82128" w14:textId="5CA6F7F7" w:rsidR="00E5042D" w:rsidRPr="00E24417" w:rsidRDefault="00E5042D" w:rsidP="001F10F9">
      <w:pPr>
        <w:widowControl w:val="0"/>
        <w:tabs>
          <w:tab w:val="right" w:leader="dot" w:pos="7920"/>
        </w:tabs>
        <w:spacing w:before="120" w:line="264" w:lineRule="auto"/>
        <w:rPr>
          <w:sz w:val="28"/>
          <w:szCs w:val="28"/>
          <w:lang w:val="vi-VN"/>
        </w:rPr>
      </w:pPr>
      <w:r w:rsidRPr="00E24417">
        <w:rPr>
          <w:sz w:val="28"/>
          <w:szCs w:val="28"/>
          <w:lang w:val="vi-VN"/>
        </w:rPr>
        <w:t>2. Xây dựng hồ sơ chính sách theo quy định của Luật Ban hành văn bản quy phạm pháp luật; tổ chức họp Tổ soạn thảo.</w:t>
      </w:r>
    </w:p>
    <w:p w14:paraId="0C83AAC8" w14:textId="17B31578" w:rsidR="00E5042D" w:rsidRPr="00E24417" w:rsidRDefault="00E5042D" w:rsidP="001F10F9">
      <w:pPr>
        <w:widowControl w:val="0"/>
        <w:tabs>
          <w:tab w:val="right" w:leader="dot" w:pos="7920"/>
        </w:tabs>
        <w:spacing w:before="120" w:line="264" w:lineRule="auto"/>
        <w:rPr>
          <w:sz w:val="28"/>
          <w:szCs w:val="28"/>
          <w:lang w:val="vi-VN"/>
        </w:rPr>
      </w:pPr>
      <w:r w:rsidRPr="00E24417">
        <w:rPr>
          <w:sz w:val="28"/>
          <w:szCs w:val="28"/>
          <w:lang w:val="vi-VN"/>
        </w:rPr>
        <w:t>3. Tổ chức lấy ý kiến các bộ, ngành, cơ quan có liên quan, các chuyên gia, nhà khoa học đối với hồ sơ chính sách.</w:t>
      </w:r>
    </w:p>
    <w:p w14:paraId="4C4B4F9F" w14:textId="713C6929" w:rsidR="00E5042D" w:rsidRPr="00E24417" w:rsidRDefault="00E5042D" w:rsidP="001F10F9">
      <w:pPr>
        <w:widowControl w:val="0"/>
        <w:tabs>
          <w:tab w:val="right" w:leader="dot" w:pos="7920"/>
        </w:tabs>
        <w:spacing w:before="120" w:line="264" w:lineRule="auto"/>
        <w:rPr>
          <w:sz w:val="28"/>
          <w:szCs w:val="28"/>
          <w:lang w:val="vi-VN"/>
        </w:rPr>
      </w:pPr>
      <w:r w:rsidRPr="00E24417">
        <w:rPr>
          <w:sz w:val="28"/>
          <w:szCs w:val="28"/>
          <w:lang w:val="vi-VN"/>
        </w:rPr>
        <w:t>4. Tổ chức hội nghị tham vấn chính sách đối với chính sách dự án Luật.</w:t>
      </w:r>
    </w:p>
    <w:p w14:paraId="359B2B61" w14:textId="0C8DC47F" w:rsidR="00E5042D" w:rsidRPr="00E24417" w:rsidRDefault="00E5042D" w:rsidP="001F10F9">
      <w:pPr>
        <w:widowControl w:val="0"/>
        <w:tabs>
          <w:tab w:val="right" w:leader="dot" w:pos="7920"/>
        </w:tabs>
        <w:spacing w:before="120" w:line="264" w:lineRule="auto"/>
        <w:rPr>
          <w:sz w:val="28"/>
          <w:szCs w:val="28"/>
          <w:lang w:val="vi-VN"/>
        </w:rPr>
      </w:pPr>
      <w:r w:rsidRPr="00E24417">
        <w:rPr>
          <w:sz w:val="28"/>
          <w:szCs w:val="28"/>
          <w:lang w:val="vi-VN"/>
        </w:rPr>
        <w:lastRenderedPageBreak/>
        <w:t>5. Bộ Tư pháp đã tổ chức thẩm định hồ sơ chính sách.</w:t>
      </w:r>
    </w:p>
    <w:p w14:paraId="35B7EC78" w14:textId="1156759F" w:rsidR="00E5042D" w:rsidRPr="00E24417" w:rsidRDefault="00E5042D" w:rsidP="001F10F9">
      <w:pPr>
        <w:widowControl w:val="0"/>
        <w:tabs>
          <w:tab w:val="right" w:leader="dot" w:pos="7920"/>
        </w:tabs>
        <w:spacing w:before="120" w:line="264" w:lineRule="auto"/>
        <w:rPr>
          <w:sz w:val="28"/>
          <w:szCs w:val="28"/>
          <w:lang w:val="vi-VN"/>
        </w:rPr>
      </w:pPr>
      <w:r w:rsidRPr="00E24417">
        <w:rPr>
          <w:sz w:val="28"/>
          <w:szCs w:val="28"/>
          <w:lang w:val="vi-VN"/>
        </w:rPr>
        <w:t>6.</w:t>
      </w:r>
      <w:r w:rsidR="004D6B39" w:rsidRPr="00E24417">
        <w:rPr>
          <w:sz w:val="28"/>
          <w:szCs w:val="28"/>
          <w:lang w:val="vi-VN"/>
        </w:rPr>
        <w:t xml:space="preserve"> Bộ Công Thương</w:t>
      </w:r>
      <w:r w:rsidR="00817E92" w:rsidRPr="00E24417">
        <w:rPr>
          <w:sz w:val="28"/>
          <w:szCs w:val="28"/>
          <w:lang w:val="vi-VN"/>
        </w:rPr>
        <w:t xml:space="preserve"> nghiên cứu, tiếp thu, giải trình ý kiến thẩm định và hoàn thiện hồ sơ chính sách để trình Chính phủ.</w:t>
      </w:r>
    </w:p>
    <w:p w14:paraId="55B8F6F6" w14:textId="77777777" w:rsidR="00926158" w:rsidRPr="00E24417" w:rsidRDefault="00F87A87" w:rsidP="001F10F9">
      <w:pPr>
        <w:widowControl w:val="0"/>
        <w:tabs>
          <w:tab w:val="right" w:leader="dot" w:pos="7920"/>
        </w:tabs>
        <w:spacing w:before="120" w:line="264" w:lineRule="auto"/>
        <w:rPr>
          <w:b/>
          <w:sz w:val="28"/>
          <w:szCs w:val="28"/>
        </w:rPr>
      </w:pPr>
      <w:r w:rsidRPr="00E24417">
        <w:rPr>
          <w:b/>
          <w:sz w:val="28"/>
          <w:szCs w:val="28"/>
          <w:lang w:val="vi-VN"/>
        </w:rPr>
        <w:t>V</w:t>
      </w:r>
      <w:r w:rsidRPr="00E24417">
        <w:rPr>
          <w:b/>
          <w:i/>
          <w:sz w:val="28"/>
          <w:szCs w:val="28"/>
          <w:lang w:val="vi-VN"/>
        </w:rPr>
        <w:t>.</w:t>
      </w:r>
      <w:r w:rsidRPr="00E24417">
        <w:rPr>
          <w:b/>
          <w:sz w:val="28"/>
          <w:szCs w:val="28"/>
          <w:lang w:val="vi-VN"/>
        </w:rPr>
        <w:t xml:space="preserve"> MỤC TIÊU, NỘI DUNG CỦA CHÍNH SÁCH</w:t>
      </w:r>
    </w:p>
    <w:p w14:paraId="28A50402" w14:textId="77777777" w:rsidR="00F22D7F" w:rsidRPr="00E24417" w:rsidRDefault="00F22D7F" w:rsidP="001F10F9">
      <w:pPr>
        <w:pStyle w:val="NormalWeb"/>
        <w:tabs>
          <w:tab w:val="left" w:pos="993"/>
        </w:tabs>
        <w:spacing w:before="120" w:beforeAutospacing="0" w:after="0" w:afterAutospacing="0" w:line="264" w:lineRule="auto"/>
        <w:ind w:firstLine="720"/>
        <w:jc w:val="both"/>
        <w:rPr>
          <w:sz w:val="28"/>
          <w:szCs w:val="28"/>
        </w:rPr>
      </w:pPr>
      <w:r w:rsidRPr="00E24417">
        <w:rPr>
          <w:sz w:val="28"/>
          <w:szCs w:val="28"/>
        </w:rPr>
        <w:t>Việc xây dựng Luật Giao dịch hàng hóa phái sinh thay thế các quy định còn phân tán tại Luật Thương mại năm 2005 và các Nghị định số 158/2006/NĐ-CP, 51/2018/NĐ-CP là yêu cầu tất yếu, xuất phát từ thực tiễn phát triển thị trường và những hạn chế, khoảng trống pháp lý đã được nhận diện. Hệ thống pháp luật hiện hành chưa điều chỉnh đầy đủ các cấu phần cốt lõi của thị trường phái sinh hiện đại, còn phân tán, thiếu đồng bộ, tiềm ẩn nguy cơ chồng chéo giữa các lĩnh vực thương mại, tài chính, ngân hàng và công nghệ .</w:t>
      </w:r>
    </w:p>
    <w:p w14:paraId="5D9781B0" w14:textId="77777777" w:rsidR="00F22D7F" w:rsidRPr="00E24417" w:rsidRDefault="00F22D7F" w:rsidP="001F10F9">
      <w:pPr>
        <w:pStyle w:val="NormalWeb"/>
        <w:tabs>
          <w:tab w:val="left" w:pos="993"/>
        </w:tabs>
        <w:spacing w:before="120" w:beforeAutospacing="0" w:after="0" w:afterAutospacing="0" w:line="264" w:lineRule="auto"/>
        <w:ind w:firstLine="720"/>
        <w:jc w:val="both"/>
        <w:rPr>
          <w:sz w:val="28"/>
          <w:szCs w:val="28"/>
        </w:rPr>
      </w:pPr>
      <w:r w:rsidRPr="00E24417">
        <w:rPr>
          <w:sz w:val="28"/>
          <w:szCs w:val="28"/>
        </w:rPr>
        <w:t>Trong bối cảnh nhu cầu phòng ngừa rủi ro giá ngày càng gia tăng, đặc biệt đối với các nhóm hàng hóa thiết yếu như năng lượng, nguyên liệu đầu vào và nông sản xuất khẩu, việc ban hành một đạo luật chuyên ngành là cần thiết nhằm thiết lập khuôn khổ pháp lý thống nhất, minh bạch, hiện đại và phù hợp với thông lệ quốc tế.</w:t>
      </w:r>
    </w:p>
    <w:p w14:paraId="18572949" w14:textId="77777777" w:rsidR="00F22D7F" w:rsidRPr="00E24417" w:rsidRDefault="00F22D7F" w:rsidP="001F10F9">
      <w:pPr>
        <w:pStyle w:val="NormalWeb"/>
        <w:tabs>
          <w:tab w:val="left" w:pos="993"/>
        </w:tabs>
        <w:spacing w:before="120" w:beforeAutospacing="0" w:after="0" w:afterAutospacing="0" w:line="264" w:lineRule="auto"/>
        <w:ind w:firstLine="720"/>
        <w:jc w:val="both"/>
        <w:rPr>
          <w:i/>
          <w:iCs/>
          <w:sz w:val="28"/>
          <w:szCs w:val="28"/>
        </w:rPr>
      </w:pPr>
      <w:r w:rsidRPr="00E24417">
        <w:rPr>
          <w:sz w:val="28"/>
          <w:szCs w:val="28"/>
        </w:rPr>
        <w:t>Trên cơ sở đó, dự thảo Luật được xây dựng theo 07 nhóm chính sách lớn, đã được rà soát, chuẩn hóa tên gọi và nội hàm theo quy định của pháp luật về xây dựng chính sách, cụ thể như sau:</w:t>
      </w:r>
    </w:p>
    <w:p w14:paraId="671518C0" w14:textId="1334F5BC" w:rsidR="00E24417" w:rsidRPr="00E24417" w:rsidRDefault="00F22D7F" w:rsidP="001F10F9">
      <w:pPr>
        <w:pStyle w:val="NormalWeb"/>
        <w:tabs>
          <w:tab w:val="left" w:pos="993"/>
        </w:tabs>
        <w:spacing w:before="120" w:beforeAutospacing="0" w:after="0" w:afterAutospacing="0" w:line="264" w:lineRule="auto"/>
        <w:ind w:firstLine="720"/>
        <w:jc w:val="both"/>
        <w:rPr>
          <w:bCs/>
          <w:i/>
          <w:iCs/>
          <w:sz w:val="28"/>
          <w:szCs w:val="28"/>
        </w:rPr>
      </w:pPr>
      <w:r w:rsidRPr="00E24417">
        <w:rPr>
          <w:i/>
          <w:iCs/>
          <w:sz w:val="28"/>
          <w:szCs w:val="28"/>
        </w:rPr>
        <w:t xml:space="preserve">(1) </w:t>
      </w:r>
      <w:r w:rsidRPr="00E24417">
        <w:rPr>
          <w:bCs/>
          <w:i/>
          <w:iCs/>
          <w:sz w:val="28"/>
          <w:szCs w:val="28"/>
        </w:rPr>
        <w:t xml:space="preserve">Chính sách về </w:t>
      </w:r>
      <w:r w:rsidR="00E24417" w:rsidRPr="00E24417">
        <w:rPr>
          <w:bCs/>
          <w:i/>
          <w:iCs/>
          <w:sz w:val="28"/>
          <w:szCs w:val="28"/>
        </w:rPr>
        <w:t>x</w:t>
      </w:r>
      <w:r w:rsidR="00E24417" w:rsidRPr="00E24417">
        <w:rPr>
          <w:bCs/>
          <w:i/>
          <w:iCs/>
          <w:sz w:val="28"/>
          <w:szCs w:val="28"/>
        </w:rPr>
        <w:t>ác lập khuôn khổ pháp lý và phạm vi điều chỉnh đối với hoạt động giao dịch hàng hóa phái sinh</w:t>
      </w:r>
      <w:r w:rsidR="00E24417" w:rsidRPr="00E24417">
        <w:rPr>
          <w:bCs/>
          <w:i/>
          <w:iCs/>
          <w:sz w:val="28"/>
          <w:szCs w:val="28"/>
        </w:rPr>
        <w:t xml:space="preserve"> </w:t>
      </w:r>
    </w:p>
    <w:p w14:paraId="056F851E" w14:textId="76FD1B81" w:rsidR="00F22D7F" w:rsidRPr="00E24417" w:rsidRDefault="00F22D7F" w:rsidP="001F10F9">
      <w:pPr>
        <w:pStyle w:val="NormalWeb"/>
        <w:tabs>
          <w:tab w:val="left" w:pos="993"/>
        </w:tabs>
        <w:spacing w:before="120" w:beforeAutospacing="0" w:after="0" w:afterAutospacing="0" w:line="264" w:lineRule="auto"/>
        <w:ind w:firstLine="720"/>
        <w:jc w:val="both"/>
        <w:rPr>
          <w:i/>
          <w:iCs/>
          <w:sz w:val="28"/>
          <w:szCs w:val="28"/>
        </w:rPr>
      </w:pPr>
      <w:r w:rsidRPr="00E24417">
        <w:rPr>
          <w:i/>
          <w:iCs/>
          <w:sz w:val="28"/>
          <w:szCs w:val="28"/>
        </w:rPr>
        <w:t>(2) Chính sách về tổ chức và phát triển hạ tầng thị trường giao dịch hàng hóa phái sinh</w:t>
      </w:r>
    </w:p>
    <w:p w14:paraId="22528793" w14:textId="77777777" w:rsidR="00F22D7F" w:rsidRPr="00E24417" w:rsidRDefault="00F22D7F" w:rsidP="001F10F9">
      <w:pPr>
        <w:pStyle w:val="NormalWeb"/>
        <w:tabs>
          <w:tab w:val="left" w:pos="993"/>
        </w:tabs>
        <w:spacing w:before="120" w:beforeAutospacing="0" w:after="0" w:afterAutospacing="0" w:line="264" w:lineRule="auto"/>
        <w:ind w:firstLine="720"/>
        <w:jc w:val="both"/>
        <w:rPr>
          <w:i/>
          <w:iCs/>
          <w:sz w:val="28"/>
          <w:szCs w:val="28"/>
        </w:rPr>
      </w:pPr>
      <w:r w:rsidRPr="00E24417">
        <w:rPr>
          <w:i/>
          <w:iCs/>
          <w:sz w:val="28"/>
          <w:szCs w:val="28"/>
        </w:rPr>
        <w:t xml:space="preserve">(3) </w:t>
      </w:r>
      <w:bookmarkStart w:id="0" w:name="_Hlk225671769"/>
      <w:r w:rsidRPr="00E24417">
        <w:rPr>
          <w:i/>
          <w:iCs/>
          <w:sz w:val="28"/>
          <w:szCs w:val="28"/>
        </w:rPr>
        <w:t>Chính sách về phát triển sản phẩm, phương thức giao dịch và chuẩn hóa hoạt động thị trường</w:t>
      </w:r>
    </w:p>
    <w:bookmarkEnd w:id="0"/>
    <w:p w14:paraId="5327C44E" w14:textId="77777777" w:rsidR="00F22D7F" w:rsidRPr="00E24417" w:rsidRDefault="00F22D7F" w:rsidP="001F10F9">
      <w:pPr>
        <w:pStyle w:val="NormalWeb"/>
        <w:tabs>
          <w:tab w:val="left" w:pos="993"/>
        </w:tabs>
        <w:spacing w:before="120" w:beforeAutospacing="0" w:after="0" w:afterAutospacing="0" w:line="264" w:lineRule="auto"/>
        <w:ind w:firstLine="720"/>
        <w:jc w:val="both"/>
        <w:rPr>
          <w:i/>
          <w:iCs/>
          <w:sz w:val="28"/>
          <w:szCs w:val="28"/>
        </w:rPr>
      </w:pPr>
      <w:r w:rsidRPr="00E24417">
        <w:rPr>
          <w:i/>
          <w:iCs/>
          <w:sz w:val="28"/>
          <w:szCs w:val="28"/>
        </w:rPr>
        <w:t xml:space="preserve">(4) Chính sách về quản lý rủi ro, giám sát thị trường, cơ chế giải quyết tranh chấp và bảo vệ chủ thể tham gia </w:t>
      </w:r>
    </w:p>
    <w:p w14:paraId="37A2BD20" w14:textId="77777777" w:rsidR="00F22D7F" w:rsidRPr="00E24417" w:rsidRDefault="00F22D7F" w:rsidP="001F10F9">
      <w:pPr>
        <w:pStyle w:val="NormalWeb"/>
        <w:tabs>
          <w:tab w:val="left" w:pos="993"/>
        </w:tabs>
        <w:spacing w:before="120" w:beforeAutospacing="0" w:after="0" w:afterAutospacing="0" w:line="264" w:lineRule="auto"/>
        <w:ind w:firstLine="720"/>
        <w:jc w:val="both"/>
        <w:rPr>
          <w:i/>
          <w:iCs/>
          <w:sz w:val="28"/>
          <w:szCs w:val="28"/>
        </w:rPr>
      </w:pPr>
      <w:r w:rsidRPr="00E24417">
        <w:rPr>
          <w:i/>
          <w:iCs/>
          <w:sz w:val="28"/>
          <w:szCs w:val="28"/>
        </w:rPr>
        <w:t>(5</w:t>
      </w:r>
      <w:r w:rsidRPr="00E24417">
        <w:rPr>
          <w:rFonts w:eastAsia="Calibri"/>
          <w:kern w:val="28"/>
          <w:sz w:val="28"/>
          <w:szCs w:val="22"/>
        </w:rPr>
        <w:t xml:space="preserve"> </w:t>
      </w:r>
      <w:r w:rsidRPr="00E24417">
        <w:rPr>
          <w:i/>
          <w:iCs/>
          <w:sz w:val="28"/>
          <w:szCs w:val="28"/>
        </w:rPr>
        <w:t>Chính sách về quản lý nhà nước và cơ chế tổ chức, vận hành thị trường</w:t>
      </w:r>
    </w:p>
    <w:p w14:paraId="793E57D4" w14:textId="77777777" w:rsidR="00F22D7F" w:rsidRPr="00E24417" w:rsidRDefault="00F22D7F" w:rsidP="001F10F9">
      <w:pPr>
        <w:pStyle w:val="NormalWeb"/>
        <w:tabs>
          <w:tab w:val="left" w:pos="993"/>
        </w:tabs>
        <w:spacing w:before="120" w:beforeAutospacing="0" w:after="0" w:afterAutospacing="0" w:line="264" w:lineRule="auto"/>
        <w:ind w:firstLine="720"/>
        <w:jc w:val="both"/>
        <w:rPr>
          <w:i/>
          <w:iCs/>
          <w:sz w:val="28"/>
          <w:szCs w:val="28"/>
        </w:rPr>
      </w:pPr>
      <w:r w:rsidRPr="00E24417">
        <w:rPr>
          <w:i/>
          <w:iCs/>
          <w:sz w:val="28"/>
          <w:szCs w:val="28"/>
        </w:rPr>
        <w:t>(6) Chính sách về hội nhập quốc tế và quản lý giao dịch hàng hóa phái sinh xuyên biên giới</w:t>
      </w:r>
    </w:p>
    <w:p w14:paraId="67BC4CBC" w14:textId="77777777" w:rsidR="00F22D7F" w:rsidRPr="00E24417" w:rsidRDefault="00F22D7F" w:rsidP="001F10F9">
      <w:pPr>
        <w:pStyle w:val="NormalWeb"/>
        <w:tabs>
          <w:tab w:val="left" w:pos="993"/>
        </w:tabs>
        <w:spacing w:before="120" w:beforeAutospacing="0" w:after="0" w:afterAutospacing="0" w:line="264" w:lineRule="auto"/>
        <w:ind w:firstLine="720"/>
        <w:jc w:val="both"/>
        <w:rPr>
          <w:i/>
          <w:iCs/>
          <w:sz w:val="28"/>
          <w:szCs w:val="28"/>
        </w:rPr>
      </w:pPr>
      <w:r w:rsidRPr="00E24417">
        <w:rPr>
          <w:i/>
          <w:iCs/>
          <w:sz w:val="28"/>
          <w:szCs w:val="28"/>
        </w:rPr>
        <w:t>(7) Chính sách chính sách đặc thù trong IFC và cơ chế ưu đãi</w:t>
      </w:r>
    </w:p>
    <w:p w14:paraId="3DD8B7B7" w14:textId="77777777" w:rsidR="00F22D7F" w:rsidRPr="00E24417" w:rsidRDefault="00F22D7F" w:rsidP="001F10F9">
      <w:pPr>
        <w:pStyle w:val="NormalWeb"/>
        <w:tabs>
          <w:tab w:val="left" w:pos="993"/>
        </w:tabs>
        <w:spacing w:before="120" w:beforeAutospacing="0" w:after="0" w:afterAutospacing="0" w:line="264" w:lineRule="auto"/>
        <w:ind w:firstLine="720"/>
        <w:jc w:val="both"/>
        <w:rPr>
          <w:sz w:val="28"/>
          <w:szCs w:val="28"/>
        </w:rPr>
      </w:pPr>
      <w:r w:rsidRPr="00E24417">
        <w:rPr>
          <w:sz w:val="28"/>
          <w:szCs w:val="28"/>
        </w:rPr>
        <w:t xml:space="preserve">Như vậy, trên cơ sở 07 nhóm chính sách nêu trên, việc ban hành Luật Giao dịch hàng hóa phái sinh thay thế các quy định hiện hành ở cấp Nghị định sẽ tạo ra tác động tích cực và toàn diện hơn so với phương án duy trì hoặc sửa đổi các quy định hiện hành. Cụ thể, về pháp lý, Luật sẽ thiết lập khuôn khổ pháp lý thống nhất, đồng bộ và ở cấp luật, khắc phục tình trạng phân tán, chồng chéo giữa các lĩnh </w:t>
      </w:r>
      <w:r w:rsidRPr="00E24417">
        <w:rPr>
          <w:sz w:val="28"/>
          <w:szCs w:val="28"/>
        </w:rPr>
        <w:lastRenderedPageBreak/>
        <w:t>vực có liên quan; về kinh tế, góp phần hình thành và phát triển thị trường giao dịch hàng hóa phái sinh theo hướng minh bạch, hiện đại, tạo công cụ phòng ngừa rủi ro giá hiệu quả cho doanh nghiệp, hỗ trợ ổn định chi phí sản xuất và nâng cao năng lực cạnh tranh; về quản lý nhà nước, tăng cường hiệu lực, hiệu quả giám sát thị trường, bảo đảm an toàn hệ thống và bảo vệ các chủ thể tham gia; đồng thời, tạo điều kiện thúc đẩy hội nhập quốc tế, mở rộng khả năng kết nối với thị trường toàn cầu và từng bước nâng cao vị thế của Việt Nam trong thương mại hàng hóa quốc tế.</w:t>
      </w:r>
    </w:p>
    <w:p w14:paraId="669DEA01" w14:textId="77777777" w:rsidR="005E6E4D" w:rsidRPr="00E24417" w:rsidRDefault="00547DA2" w:rsidP="001F10F9">
      <w:pPr>
        <w:pStyle w:val="NormalWeb"/>
        <w:tabs>
          <w:tab w:val="left" w:pos="993"/>
        </w:tabs>
        <w:spacing w:before="120" w:beforeAutospacing="0" w:after="0" w:afterAutospacing="0" w:line="264" w:lineRule="auto"/>
        <w:ind w:firstLine="720"/>
        <w:jc w:val="both"/>
        <w:rPr>
          <w:b/>
          <w:sz w:val="28"/>
          <w:szCs w:val="28"/>
        </w:rPr>
      </w:pPr>
      <w:r w:rsidRPr="00E24417">
        <w:rPr>
          <w:b/>
          <w:sz w:val="28"/>
          <w:szCs w:val="28"/>
        </w:rPr>
        <w:t xml:space="preserve">1. Nhóm chính sách 1: </w:t>
      </w:r>
      <w:r w:rsidR="005E6E4D" w:rsidRPr="00E24417">
        <w:rPr>
          <w:b/>
          <w:sz w:val="28"/>
          <w:szCs w:val="28"/>
        </w:rPr>
        <w:t>Xác lập khuôn khổ pháp lý và phạm vi điều chỉnh đối với hoạt động giao dịch hàng hóa phái sinh</w:t>
      </w:r>
    </w:p>
    <w:p w14:paraId="4852D6A2" w14:textId="2F54E33A"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a) Vấn đề cần giải quyết</w:t>
      </w:r>
    </w:p>
    <w:p w14:paraId="395B728D" w14:textId="77777777" w:rsidR="005E6E4D" w:rsidRPr="00E24417" w:rsidRDefault="005E6E4D"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Thực tiễn cho thấy hệ thống pháp luật hiện hành điều chỉnh hoạt động giao dịch hàng hóa phái sinh còn phân tán ở nhiều lĩnh vực (thương mại, tài chính, ngân hàng…), chưa hình thành được một khuôn khổ pháp lý thống nhất, chuyên biệt ở cấp luật để điều chỉnh toàn diện thị trường. Phạm vi điều chỉnh còn hạn chế, chủ yếu tập trung vào giao dịch qua Sở giao dịch hàng hóa, chưa bao quát đầy đủ cả giao dịch phái sinh và các giao dịch gắn với hàng hóa thực, cũng như chưa làm rõ mối quan hệ giữa thị trường tập trung và thị trường phi tập trung (OTC). </w:t>
      </w:r>
    </w:p>
    <w:p w14:paraId="044663B8" w14:textId="77777777" w:rsidR="005E6E4D" w:rsidRPr="00E24417" w:rsidRDefault="005E6E4D"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Bên cạnh đó, các khái niệm pháp lý nền tảng như hợp đồng phái sinh, vị thế, ký quỹ, thanh toán bù trừ, trung tâm thanh toán bù trừ (CCP), giới hạn vị thế… chưa được quy định đầy đủ, thống nhất; các nguyên tắc cốt lõi về minh bạch, an toàn tài chính, tách bạch tài sản và bảo vệ nhà đầu tư chưa được thiết lập ở cấp luật. Đồng thời, các quy định về cấu trúc thị trường, chủ thể tham gia, cơ chế quản lý rủi ro, giám sát giao dịch và xử lý vi phạm còn thiếu hoặc chưa đồng bộ. </w:t>
      </w:r>
    </w:p>
    <w:p w14:paraId="1B6C2AD1" w14:textId="77777777" w:rsidR="005E6E4D" w:rsidRPr="00E24417" w:rsidRDefault="005E6E4D"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Những hạn chế này làm giảm hiệu quả quản lý nhà nước, hạn chế khả năng phòng ngừa rủi ro giá của doanh nghiệp, chưa tạo nền tảng cho cơ chế hình thành giá minh bạch và cản trở quá trình hội nhập với thị trường quốc tế. Do đó, cần thiết xây dựng một khuôn khổ pháp lý thống nhất, đầy đủ và phù hợp với thông lệ quốc tế để điều chỉnh toàn diện hoạt động giao dịch hàng hóa phái sinh.</w:t>
      </w:r>
    </w:p>
    <w:p w14:paraId="39F96FF8" w14:textId="77777777"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b) Mục tiêu chính sách</w:t>
      </w:r>
    </w:p>
    <w:p w14:paraId="168A9354" w14:textId="60B9C4E2" w:rsidR="005E6E4D" w:rsidRPr="00E24417" w:rsidRDefault="005E6E4D" w:rsidP="001F10F9">
      <w:pPr>
        <w:pStyle w:val="NormalWeb"/>
        <w:tabs>
          <w:tab w:val="left" w:pos="993"/>
        </w:tabs>
        <w:spacing w:before="120" w:beforeAutospacing="0" w:after="0" w:afterAutospacing="0" w:line="264" w:lineRule="auto"/>
        <w:ind w:firstLine="720"/>
        <w:jc w:val="both"/>
        <w:rPr>
          <w:sz w:val="28"/>
          <w:szCs w:val="28"/>
        </w:rPr>
      </w:pPr>
      <w:r w:rsidRPr="00E24417">
        <w:rPr>
          <w:sz w:val="28"/>
          <w:szCs w:val="28"/>
        </w:rPr>
        <w:t>- Xác lập khuôn khổ pháp lý thống nhất, chuyên biệt ở cấp luật để điều chỉnh toàn diện hoạt động giao dịch hàng hóa phái sinh, bao quát cả thị trường tập trung và thị trường OTC, cũng như cả giao dịch phái sinh và giao dịch gắn với hàng hóa thực.</w:t>
      </w:r>
    </w:p>
    <w:p w14:paraId="5D42A97F" w14:textId="3F523DAB" w:rsidR="005E6E4D" w:rsidRPr="00E24417" w:rsidRDefault="005E6E4D" w:rsidP="001F10F9">
      <w:pPr>
        <w:pStyle w:val="NormalWeb"/>
        <w:tabs>
          <w:tab w:val="left" w:pos="993"/>
        </w:tabs>
        <w:spacing w:before="120" w:beforeAutospacing="0" w:after="0" w:afterAutospacing="0" w:line="264" w:lineRule="auto"/>
        <w:ind w:firstLine="720"/>
        <w:jc w:val="both"/>
        <w:rPr>
          <w:sz w:val="28"/>
          <w:szCs w:val="28"/>
        </w:rPr>
      </w:pPr>
      <w:r w:rsidRPr="00E24417">
        <w:rPr>
          <w:sz w:val="28"/>
          <w:szCs w:val="28"/>
        </w:rPr>
        <w:t>- Làm rõ phạm vi điều chỉnh, đối tượng áp dụng và các cấu phần cốt lõi của thị trường, bao gồm Sở giao dịch hàng hóa, tổ chức thanh toán bù trừ, thành viên thị trường, nhà đầu tư và các tổ chức cung cấp dịch vụ liên quan.</w:t>
      </w:r>
    </w:p>
    <w:p w14:paraId="616D5EE0" w14:textId="211B3943" w:rsidR="005E6E4D" w:rsidRPr="00E24417" w:rsidRDefault="005E6E4D" w:rsidP="001F10F9">
      <w:pPr>
        <w:pStyle w:val="NormalWeb"/>
        <w:tabs>
          <w:tab w:val="left" w:pos="993"/>
        </w:tabs>
        <w:spacing w:before="120" w:beforeAutospacing="0" w:after="0" w:afterAutospacing="0" w:line="264" w:lineRule="auto"/>
        <w:ind w:firstLine="720"/>
        <w:jc w:val="both"/>
        <w:rPr>
          <w:sz w:val="28"/>
          <w:szCs w:val="28"/>
        </w:rPr>
      </w:pPr>
      <w:r w:rsidRPr="00E24417">
        <w:rPr>
          <w:sz w:val="28"/>
          <w:szCs w:val="28"/>
        </w:rPr>
        <w:lastRenderedPageBreak/>
        <w:t>- Chuẩn hóa các khái niệm pháp lý nền tảng và thiết lập các nguyên tắc vận hành thị trường theo hướng minh bạch, công bằng, an toàn tài chính, tách bạch tài sản và bảo vệ nhà đầu tư.</w:t>
      </w:r>
    </w:p>
    <w:p w14:paraId="70E8DF2A" w14:textId="7604D324" w:rsidR="005E6E4D" w:rsidRPr="00E24417" w:rsidRDefault="005E6E4D" w:rsidP="001F10F9">
      <w:pPr>
        <w:pStyle w:val="NormalWeb"/>
        <w:tabs>
          <w:tab w:val="left" w:pos="993"/>
        </w:tabs>
        <w:spacing w:before="120" w:beforeAutospacing="0" w:after="0" w:afterAutospacing="0" w:line="264" w:lineRule="auto"/>
        <w:ind w:firstLine="720"/>
        <w:jc w:val="both"/>
        <w:rPr>
          <w:sz w:val="28"/>
          <w:szCs w:val="28"/>
        </w:rPr>
      </w:pPr>
      <w:r w:rsidRPr="00E24417">
        <w:rPr>
          <w:sz w:val="28"/>
          <w:szCs w:val="28"/>
        </w:rPr>
        <w:t>- Thiết lập khung các hành vi bị nghiêm cấm và nguyên tắc quản lý rủi ro, giám sát thị trường; đồng thời bảo đảm tính linh hoạt bằng việc giao Chính phủ quy định chi tiết các nội dung kỹ thuật, biến động nhanh.</w:t>
      </w:r>
    </w:p>
    <w:p w14:paraId="521384FF" w14:textId="424BCC49"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c) Phương án chính sách</w:t>
      </w:r>
    </w:p>
    <w:p w14:paraId="1011B47B" w14:textId="316CAB5B" w:rsidR="005E6E4D" w:rsidRPr="00E24417" w:rsidRDefault="005E6E4D"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u w:val="single"/>
        </w:rPr>
        <w:t>Phương án 1</w:t>
      </w:r>
      <w:r w:rsidRPr="00E24417">
        <w:rPr>
          <w:bCs/>
          <w:sz w:val="28"/>
          <w:szCs w:val="28"/>
        </w:rPr>
        <w:t>: Luật quy định toàn diện, chi tiết toàn bộ hoạt động giao dịch hàng hóa phái sinh, bao gồm cả thị trường tập trung và thị trường OTC; quy định đầy đủ các nội dung về sản phẩm, tổ chức thị trường, thanh toán bù trừ, quản lý rủi ro, giám sát và xử lý vi phạm.</w:t>
      </w:r>
    </w:p>
    <w:p w14:paraId="1B34E93A" w14:textId="77777777" w:rsidR="005E6E4D" w:rsidRPr="00E24417" w:rsidRDefault="005E6E4D"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u w:val="single"/>
        </w:rPr>
        <w:t>Phương án 2</w:t>
      </w:r>
      <w:r w:rsidRPr="00E24417">
        <w:rPr>
          <w:bCs/>
          <w:sz w:val="28"/>
          <w:szCs w:val="28"/>
        </w:rPr>
        <w:t>: Luật quy định khung pháp lý và các nguyên tắc chung điều chỉnh hoạt động giao dịch hàng hóa phái sinh, bao quát cả thị trường tập trung và OTC; các nội dung cụ thể, kỹ thuật và biến động nhanh (điều kiện tham gia, sản phẩm, ký quỹ, bù trừ, giới hạn vị thế, giám sát…) được giao Chính phủ quy định chi tiết để bảo đảm tính linh hoạt.</w:t>
      </w:r>
    </w:p>
    <w:p w14:paraId="5C17500D" w14:textId="10836135"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d) Giải pháp lựa chọn</w:t>
      </w:r>
    </w:p>
    <w:p w14:paraId="342D6D7D" w14:textId="13D1E4D2" w:rsidR="005E6E4D" w:rsidRPr="00E24417" w:rsidRDefault="005E6E4D" w:rsidP="001F10F9">
      <w:pPr>
        <w:pStyle w:val="NormalWeb"/>
        <w:tabs>
          <w:tab w:val="left" w:pos="993"/>
        </w:tabs>
        <w:spacing w:before="120" w:beforeAutospacing="0" w:after="0" w:afterAutospacing="0" w:line="264" w:lineRule="auto"/>
        <w:ind w:firstLine="720"/>
        <w:jc w:val="both"/>
        <w:rPr>
          <w:b/>
          <w:i/>
          <w:iCs/>
          <w:sz w:val="28"/>
          <w:szCs w:val="28"/>
        </w:rPr>
      </w:pPr>
      <w:r w:rsidRPr="00E24417">
        <w:rPr>
          <w:bCs/>
          <w:sz w:val="28"/>
          <w:szCs w:val="28"/>
        </w:rPr>
        <w:t xml:space="preserve">Đề xuất lựa chọn </w:t>
      </w:r>
      <w:r w:rsidRPr="00E24417">
        <w:rPr>
          <w:b/>
          <w:i/>
          <w:iCs/>
          <w:sz w:val="28"/>
          <w:szCs w:val="28"/>
        </w:rPr>
        <w:t>Phương án 2 (Luật quy định khung pháp lý và các nguyên tắc chung).</w:t>
      </w:r>
    </w:p>
    <w:p w14:paraId="79B46036" w14:textId="7643FCC4" w:rsidR="005E6E4D" w:rsidRPr="00E24417" w:rsidRDefault="005E6E4D"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Phương án này phù hợp với thực tiễn thị trường giao dịch hàng hóa phái sinh tại Việt Nam còn đang trong giai đoạn hình thành, quy mô và mức độ phát triển chưa đồng đều. Việc quy định các nguyên tắc và cấu phần cơ bản ở cấp luật, đồng thời giao Chính phủ quy định chi tiết các nội dung kỹ thuật sẽ:</w:t>
      </w:r>
    </w:p>
    <w:p w14:paraId="17DBFA38" w14:textId="51478649" w:rsidR="005E6E4D" w:rsidRPr="00E24417" w:rsidRDefault="005E6E4D"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Bảo đảm tính linh hoạt, khả năng thích ứng với sự biến động nhanh của thị trường và sự phát triển của các sản phẩm, phương thức giao dịch mới;</w:t>
      </w:r>
    </w:p>
    <w:p w14:paraId="6D1B00E5" w14:textId="17AB26BD" w:rsidR="005E6E4D" w:rsidRPr="00E24417" w:rsidRDefault="005E6E4D"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Hạn chế nguy cơ chồng chéo, xung đột với các lĩnh vực pháp luật liên quan như chứng khoán, ngân hàng, ngoại hối;</w:t>
      </w:r>
    </w:p>
    <w:p w14:paraId="3FFE4721" w14:textId="5B1DEAF2" w:rsidR="005E6E4D" w:rsidRPr="00E24417" w:rsidRDefault="005E6E4D"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Giảm chi phí tuân thủ và tạo điều kiện thuận lợi cho doanh nghiệp tham gia thị trường;</w:t>
      </w:r>
    </w:p>
    <w:p w14:paraId="590444D7" w14:textId="7D659715" w:rsidR="005E6E4D" w:rsidRPr="00E24417" w:rsidRDefault="005E6E4D"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Cho phép Nhà nước chủ động điều chỉnh chính sách, cân bằng giữa mục tiêu phát triển thị trường và kiểm soát rủi ro hệ thống.</w:t>
      </w:r>
    </w:p>
    <w:p w14:paraId="586CF7DC" w14:textId="7513F600" w:rsidR="00547DA2" w:rsidRPr="00E24417" w:rsidRDefault="00547DA2" w:rsidP="001F10F9">
      <w:pPr>
        <w:pStyle w:val="NormalWeb"/>
        <w:tabs>
          <w:tab w:val="left" w:pos="993"/>
        </w:tabs>
        <w:spacing w:before="120" w:beforeAutospacing="0" w:after="0" w:afterAutospacing="0" w:line="264" w:lineRule="auto"/>
        <w:ind w:firstLine="720"/>
        <w:jc w:val="both"/>
        <w:rPr>
          <w:b/>
          <w:sz w:val="28"/>
          <w:szCs w:val="28"/>
        </w:rPr>
      </w:pPr>
      <w:r w:rsidRPr="00E24417">
        <w:rPr>
          <w:b/>
          <w:sz w:val="28"/>
          <w:szCs w:val="28"/>
        </w:rPr>
        <w:t xml:space="preserve">2. Nhóm chính sách 2: </w:t>
      </w:r>
      <w:r w:rsidR="00BB52BB" w:rsidRPr="00E24417">
        <w:rPr>
          <w:b/>
          <w:sz w:val="28"/>
          <w:szCs w:val="28"/>
        </w:rPr>
        <w:t>Tổ chức và phát triển hạ tầng thị trường giao dịch hàng hóa phái sinh</w:t>
      </w:r>
    </w:p>
    <w:p w14:paraId="676D97D9" w14:textId="77777777"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a) Vấn đề cần giải quyết</w:t>
      </w:r>
    </w:p>
    <w:p w14:paraId="3E4BDF32" w14:textId="57F83D0B"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Thị trường giao dịch hàng hóa phái sinh đòi hỏi hệ thống hạ tầng chuyên biệt, đồng bộ và hiện đại, bao gồm Sở giao dịch hàng hóa, trung tâm thanh toán </w:t>
      </w:r>
      <w:r w:rsidRPr="00E24417">
        <w:rPr>
          <w:bCs/>
          <w:sz w:val="28"/>
          <w:szCs w:val="28"/>
        </w:rPr>
        <w:lastRenderedPageBreak/>
        <w:t>bù trừ (CCP), hệ thống lưu ký – quản lý vị thế – ký quỹ, hạ tầng giao nhận (kho bãi, logistics, kiểm định) và hệ thống công nghệ, dữ liệu phục vụ vận hành và giám sát thị trường.</w:t>
      </w:r>
    </w:p>
    <w:p w14:paraId="465CAB07" w14:textId="694AAD41"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Tuy nhiên, thực tiễn cho thấy hạ tầng thị trường tại Việt Nam còn thiếu và chưa hoàn chỉnh, chưa hình thành các cấu phần cốt lõi như CCP chuẩn hóa; chưa có cơ chế tách bạch rõ ràng giữa các chức năng giao dịch – bù trừ – lưu ký – giao nhận; hệ thống quản lý ký quỹ, vị thế và kiểm soát rủi ro tập trung chưa được thiết lập; các hạ tầng hỗ trợ như kho bãi, giao nhận, kiểm định, dữ liệu thị trường còn thiếu đồng bộ; đồng thời chưa có cơ chế kết nối, liên thông với thị trường quốc tế.</w:t>
      </w:r>
    </w:p>
    <w:p w14:paraId="3CD9DB28"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Bên cạnh đó, pháp luật hiện hành chưa quy định đầy đủ về mô hình tổ chức, quản trị và cơ chế vận hành của các thiết chế hạ tầng này, đặc biệt là Sở giao dịch và trung tâm thanh toán bù trừ; thiếu các quy định về điều kiện thành lập, quản trị rủi ro, phối hợp giữa các cấu phần và giám sát hệ thống. Những hạn chế này tiềm ẩn rủi ro đối với an toàn thị trường và làm giảm khả năng phát triển, hội nhập của thị trường giao dịch hàng hóa phái sinh.</w:t>
      </w:r>
    </w:p>
    <w:p w14:paraId="0220B17F" w14:textId="3D13D4DC"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b) Mục tiêu chính sách</w:t>
      </w:r>
    </w:p>
    <w:p w14:paraId="1DAB0DBD" w14:textId="42F1568C"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lang w:val="vi-VN"/>
        </w:rPr>
      </w:pPr>
      <w:r w:rsidRPr="00E24417">
        <w:rPr>
          <w:bCs/>
          <w:sz w:val="28"/>
          <w:szCs w:val="28"/>
        </w:rPr>
        <w:t xml:space="preserve">- </w:t>
      </w:r>
      <w:r w:rsidRPr="00E24417">
        <w:rPr>
          <w:bCs/>
          <w:sz w:val="28"/>
          <w:szCs w:val="28"/>
          <w:lang w:val="vi-VN"/>
        </w:rPr>
        <w:t>Thiết lập khuôn khổ pháp lý về tổ chức và vận hành hạ tầng thị trường giao dịch hàng hóa phái sinh theo hướng đồng bộ, hiện đại, bao gồm các cấu phần cốt lõi như Sở giao dịch hàng hóa, trung tâm thanh toán bù trừ (CCP) và các hạ tầng hỗ trợ (lưu ký, giao nhận, kho bãi, logistics, dữ liệu và công nghệ).</w:t>
      </w:r>
    </w:p>
    <w:p w14:paraId="463ADA09" w14:textId="3E19EA4D"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lang w:val="vi-VN"/>
        </w:rPr>
      </w:pPr>
      <w:r w:rsidRPr="00E24417">
        <w:rPr>
          <w:bCs/>
          <w:sz w:val="28"/>
          <w:szCs w:val="28"/>
        </w:rPr>
        <w:t xml:space="preserve">- </w:t>
      </w:r>
      <w:r w:rsidRPr="00E24417">
        <w:rPr>
          <w:bCs/>
          <w:sz w:val="28"/>
          <w:szCs w:val="28"/>
          <w:lang w:val="vi-VN"/>
        </w:rPr>
        <w:t xml:space="preserve">Xác lập nguyên tắc tách bạch chức năng giữa các thiết chế (giao dịch </w:t>
      </w:r>
      <w:r w:rsidRPr="00E24417">
        <w:rPr>
          <w:bCs/>
          <w:sz w:val="28"/>
          <w:szCs w:val="28"/>
        </w:rPr>
        <w:t>-</w:t>
      </w:r>
      <w:r w:rsidRPr="00E24417">
        <w:rPr>
          <w:bCs/>
          <w:sz w:val="28"/>
          <w:szCs w:val="28"/>
          <w:lang w:val="vi-VN"/>
        </w:rPr>
        <w:t xml:space="preserve"> bù trừ </w:t>
      </w:r>
      <w:r w:rsidRPr="00E24417">
        <w:rPr>
          <w:bCs/>
          <w:sz w:val="28"/>
          <w:szCs w:val="28"/>
        </w:rPr>
        <w:t>-</w:t>
      </w:r>
      <w:r w:rsidRPr="00E24417">
        <w:rPr>
          <w:bCs/>
          <w:sz w:val="28"/>
          <w:szCs w:val="28"/>
          <w:lang w:val="vi-VN"/>
        </w:rPr>
        <w:t xml:space="preserve"> lưu ký </w:t>
      </w:r>
      <w:r w:rsidRPr="00E24417">
        <w:rPr>
          <w:bCs/>
          <w:sz w:val="28"/>
          <w:szCs w:val="28"/>
        </w:rPr>
        <w:t>-</w:t>
      </w:r>
      <w:r w:rsidRPr="00E24417">
        <w:rPr>
          <w:bCs/>
          <w:sz w:val="28"/>
          <w:szCs w:val="28"/>
          <w:lang w:val="vi-VN"/>
        </w:rPr>
        <w:t xml:space="preserve"> giao nhận), nâng cao tính minh bạch, an toàn hệ thống và hiệu quả quản trị rủi ro.</w:t>
      </w:r>
    </w:p>
    <w:p w14:paraId="5ACB64F5" w14:textId="6D02C7C9"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lang w:val="vi-VN"/>
        </w:rPr>
      </w:pPr>
      <w:r w:rsidRPr="00E24417">
        <w:rPr>
          <w:bCs/>
          <w:sz w:val="28"/>
          <w:szCs w:val="28"/>
        </w:rPr>
        <w:t xml:space="preserve">- </w:t>
      </w:r>
      <w:r w:rsidRPr="00E24417">
        <w:rPr>
          <w:bCs/>
          <w:sz w:val="28"/>
          <w:szCs w:val="28"/>
          <w:lang w:val="vi-VN"/>
        </w:rPr>
        <w:t>Từng bước hình thành hạ tầng thị trường đầy đủ, tiệm cận chuẩn mực quốc tế, tạo nền tảng cho phát triển thị trường chuyên nghiệp, nâng cao khả năng kết nối và hội nhập quốc tế.</w:t>
      </w:r>
    </w:p>
    <w:p w14:paraId="3B461161" w14:textId="7B2B58A1" w:rsidR="00547DA2"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 </w:t>
      </w:r>
      <w:r w:rsidRPr="00E24417">
        <w:rPr>
          <w:bCs/>
          <w:sz w:val="28"/>
          <w:szCs w:val="28"/>
          <w:lang w:val="vi-VN"/>
        </w:rPr>
        <w:t>Bảo đảm cơ chế vận hành linh hoạt theo lộ trình phù hợp với quy mô và mức độ phát triển của thị trường, cân đối giữa yêu cầu hiện đại hóa và tính khả thi trong giai đoạn đầu.</w:t>
      </w:r>
      <w:r w:rsidR="00547DA2" w:rsidRPr="00E24417">
        <w:rPr>
          <w:bCs/>
          <w:sz w:val="28"/>
          <w:szCs w:val="28"/>
          <w:lang w:val="vi-VN"/>
        </w:rPr>
        <w:t>.</w:t>
      </w:r>
    </w:p>
    <w:p w14:paraId="0A159D14" w14:textId="77777777"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c) Phương án chính sách</w:t>
      </w:r>
    </w:p>
    <w:p w14:paraId="5EAFB7EB" w14:textId="6394C04D"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u w:val="single"/>
        </w:rPr>
        <w:t>Phương án 1:</w:t>
      </w:r>
      <w:r w:rsidRPr="00E24417">
        <w:rPr>
          <w:bCs/>
          <w:sz w:val="28"/>
          <w:szCs w:val="28"/>
        </w:rPr>
        <w:t xml:space="preserve"> Thiết lập mô hình hạ tầng thị trường theo hướng tách bạch, gồm Sở giao dịch hàng hóa và Trung tâm thanh toán bù trừ (CCP) hoạt động độc lập, đồng thời phát triển đồng bộ các cấu phần hạ tầng (lưu ký, quản lý ký quỹ – vị thế, giao nhận, dữ liệu…).</w:t>
      </w:r>
    </w:p>
    <w:p w14:paraId="162FA863"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Sở giao dịch thực hiện tổ chức và vận hành thị trường, niêm yết sản phẩm, quản lý và giám sát giao dịch;</w:t>
      </w:r>
    </w:p>
    <w:p w14:paraId="3D5B94AA"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lastRenderedPageBreak/>
        <w:t>Trung tâm thanh toán bù trừ thực hiện chức năng đối tác trung tâm (CCP), bù trừ, thanh toán, quản lý ký quỹ và kiểm soát rủi ro đối tác.</w:t>
      </w:r>
    </w:p>
    <w:p w14:paraId="46F65B7A"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u w:val="single"/>
        </w:rPr>
        <w:t>Phương án 2:</w:t>
      </w:r>
      <w:r w:rsidRPr="00E24417">
        <w:rPr>
          <w:bCs/>
          <w:sz w:val="28"/>
          <w:szCs w:val="28"/>
        </w:rPr>
        <w:t xml:space="preserve"> Tổ chức mô hình hạ tầng theo hướng tích hợp, trong đó Sở giao dịch thực hiện đồng thời chức năng giao dịch và bù trừ; các cấu phần hạ tầng khác được phát triển theo lộ trình, và việc thành lập CCP độc lập sẽ được xem xét khi thị trường phát triển đến mức độ phù hợp.</w:t>
      </w:r>
    </w:p>
    <w:p w14:paraId="068F3FD6" w14:textId="4E239ACC"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d) Giải pháp lựa chọn</w:t>
      </w:r>
    </w:p>
    <w:p w14:paraId="247FA13C" w14:textId="49D8E1E5" w:rsidR="00BB52BB" w:rsidRPr="00E24417" w:rsidRDefault="00BB52BB" w:rsidP="001F10F9">
      <w:pPr>
        <w:pStyle w:val="NormalWeb"/>
        <w:tabs>
          <w:tab w:val="left" w:pos="993"/>
        </w:tabs>
        <w:spacing w:before="120" w:beforeAutospacing="0" w:after="0" w:afterAutospacing="0" w:line="264" w:lineRule="auto"/>
        <w:ind w:firstLine="720"/>
        <w:jc w:val="both"/>
        <w:rPr>
          <w:bCs/>
          <w:i/>
          <w:iCs/>
          <w:sz w:val="28"/>
          <w:szCs w:val="28"/>
        </w:rPr>
      </w:pPr>
      <w:r w:rsidRPr="00E24417">
        <w:rPr>
          <w:bCs/>
          <w:sz w:val="28"/>
          <w:szCs w:val="28"/>
        </w:rPr>
        <w:t xml:space="preserve">Đề xuất lựa chọn </w:t>
      </w:r>
      <w:r w:rsidRPr="00E24417">
        <w:rPr>
          <w:b/>
          <w:bCs/>
          <w:i/>
          <w:iCs/>
          <w:sz w:val="28"/>
          <w:szCs w:val="28"/>
        </w:rPr>
        <w:t>Phương án 1 (mô hình tách bạch giữa Sở giao dịch và Trung tâm thanh toán bù trừ - CCP)</w:t>
      </w:r>
      <w:r w:rsidRPr="00E24417">
        <w:rPr>
          <w:bCs/>
          <w:i/>
          <w:iCs/>
          <w:sz w:val="28"/>
          <w:szCs w:val="28"/>
        </w:rPr>
        <w:t>.</w:t>
      </w:r>
    </w:p>
    <w:p w14:paraId="4F5953BC"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Phương án này phù hợp với định hướng xây dựng thị trường theo chuẩn mực quốc tế, bảo đảm tách bạch chức năng giao dịch và quản lý rủi ro, qua đó nâng cao tính minh bạch, hiệu quả giám sát và an toàn hệ thống. Việc thiết lập CCP độc lập giúp kiểm soát rủi ro đối tác một cách tập trung, hạn chế rủi ro lan truyền và củng cố niềm tin của thị trường.</w:t>
      </w:r>
    </w:p>
    <w:p w14:paraId="30EE4471" w14:textId="3806EA8F"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Đồng thời, mô hình này tạo nền tảng để phát triển đồng bộ các cấu phần hạ tầng thị trường, thúc đẩy hình thành hệ sinh thái đầy đủ (giao dịch, bù trừ, giao nhận, dữ liệu), nâng cao khả năng kết nối với thị trường quốc tế và thu hút nhà đầu tư.</w:t>
      </w:r>
    </w:p>
    <w:p w14:paraId="3FC4612B"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Việc triển khai được thực hiện theo lộ trình phù hợp với điều kiện thực tiễn, trong đó Luật quy định các nguyên tắc và cấu phần cơ bản, còn các nội dung kỹ thuật được giao Chính phủ quy định chi tiết, bảo đảm tính linh hoạt, khả thi và hiệu quả trong tổ chức thực hiện.</w:t>
      </w:r>
    </w:p>
    <w:p w14:paraId="0577E52D" w14:textId="1D2351E9" w:rsidR="005A6565" w:rsidRPr="00E24417" w:rsidRDefault="00547DA2" w:rsidP="001F10F9">
      <w:pPr>
        <w:pStyle w:val="NormalWeb"/>
        <w:tabs>
          <w:tab w:val="left" w:pos="993"/>
        </w:tabs>
        <w:spacing w:before="120" w:beforeAutospacing="0" w:after="0" w:afterAutospacing="0" w:line="264" w:lineRule="auto"/>
        <w:ind w:firstLine="720"/>
        <w:jc w:val="both"/>
        <w:rPr>
          <w:b/>
          <w:sz w:val="28"/>
          <w:szCs w:val="28"/>
        </w:rPr>
      </w:pPr>
      <w:r w:rsidRPr="00E24417">
        <w:rPr>
          <w:b/>
          <w:sz w:val="28"/>
          <w:szCs w:val="28"/>
        </w:rPr>
        <w:t xml:space="preserve">3. Nhóm chính sách 3: </w:t>
      </w:r>
      <w:r w:rsidR="005A6565" w:rsidRPr="00E24417">
        <w:rPr>
          <w:b/>
          <w:sz w:val="28"/>
          <w:szCs w:val="28"/>
        </w:rPr>
        <w:t>Phát triển sản phẩm, phương thức giao dịch và chuẩn hóa hoạt động thị trường</w:t>
      </w:r>
    </w:p>
    <w:p w14:paraId="63347C9A" w14:textId="603A186F" w:rsidR="00547DA2" w:rsidRPr="00E24417" w:rsidRDefault="00547DA2" w:rsidP="001F10F9">
      <w:pPr>
        <w:pStyle w:val="NormalWeb"/>
        <w:tabs>
          <w:tab w:val="left" w:pos="993"/>
        </w:tabs>
        <w:spacing w:before="120" w:beforeAutospacing="0" w:after="0" w:afterAutospacing="0" w:line="264" w:lineRule="auto"/>
        <w:ind w:firstLine="720"/>
        <w:jc w:val="both"/>
        <w:rPr>
          <w:bCs/>
          <w:sz w:val="28"/>
          <w:szCs w:val="28"/>
        </w:rPr>
      </w:pPr>
      <w:r w:rsidRPr="00E24417">
        <w:rPr>
          <w:b/>
          <w:i/>
          <w:iCs/>
          <w:sz w:val="28"/>
          <w:szCs w:val="28"/>
        </w:rPr>
        <w:t>a) Vấn đề cần giải quyết</w:t>
      </w:r>
    </w:p>
    <w:p w14:paraId="27D5FC2E"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Thị trường giao dịch hàng hóa phái sinh tại Việt Nam hiện vẫn ở giai đoạn đầu phát triển, hệ thống sản phẩm và phương thức giao dịch còn hạn chế, chưa đáp ứng nhu cầu đa dạng về phòng ngừa rủi ro của các ngành hàng. Danh mục sản phẩm còn đơn điệu, thiếu cơ chế pháp lý rõ ràng để phát triển các sản phẩm mới, sản phẩm cấu trúc hoặc sản phẩm đặc thù theo từng nhóm hàng hóa như năng lượng, nông sản, kim loại. </w:t>
      </w:r>
    </w:p>
    <w:p w14:paraId="573840A9"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Bên cạnh đó, các quy tắc thị trường như niêm yết, hủy niêm yết, giao dịch, khớp lệnh, quản lý vị thế và kiểm soát rủi ro chưa được chuẩn hóa đầy đủ theo thông lệ quốc tế; chưa có cơ chế linh hoạt để cập nhật danh mục hàng hóa cơ sở, cấu trúc hợp đồng và thông số kỹ thuật theo diễn biến thị trường. Đồng thời, các công cụ quản lý rủi ro như ký quỹ, giới hạn vị thế, biên độ giá, cơ chế bình ổn thị </w:t>
      </w:r>
      <w:r w:rsidRPr="00E24417">
        <w:rPr>
          <w:bCs/>
          <w:sz w:val="28"/>
          <w:szCs w:val="28"/>
        </w:rPr>
        <w:lastRenderedPageBreak/>
        <w:t xml:space="preserve">trường và cơ chế hỗ trợ hoạt động phòng ngừa rủi ro (hedging) chưa được quy định đầy đủ. </w:t>
      </w:r>
    </w:p>
    <w:p w14:paraId="241565F8"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Ngoài ra, mối liên kết giữa sản phẩm phái sinh và thị trường hàng hóa thực còn chưa chặt chẽ, làm hạn chế vai trò của thị trường trong việc hình thành tín hiệu giá và hỗ trợ hoạt động sản xuất, kinh doanh. Những hạn chế này ảnh hưởng đến khả năng phát triển thị trường, làm giảm hiệu quả phòng ngừa rủi ro và tiềm ẩn nguy cơ mất an toàn hệ thống.</w:t>
      </w:r>
    </w:p>
    <w:p w14:paraId="47E23BD0" w14:textId="77777777"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b) Mục tiêu chính sách</w:t>
      </w:r>
    </w:p>
    <w:p w14:paraId="230B7DCD" w14:textId="2708307F"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Thiết lập khuôn khổ pháp lý cho phát triển sản phẩm và chuẩn hóa hoạt động giao dịch trên thị trường hàng hóa phái sinh theo hướng linh hoạt, hiện đại và phù hợp với thông lệ quốc tế.</w:t>
      </w:r>
    </w:p>
    <w:p w14:paraId="0AE5EFA0" w14:textId="317AFBF6"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Quy định khung về hàng hóa cơ sở và các loại hợp đồng phái sinh cơ bản; thiết lập nguyên tắc niêm yết, hủy niêm yết, giao dịch và công bố thông tin, bảo đảm minh bạch và cạnh tranh lành mạnh.</w:t>
      </w:r>
    </w:p>
    <w:p w14:paraId="322691E9" w14:textId="437D89BB"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Chuẩn hóa các công cụ quản lý rủi ro thị trường như cơ chế ký quỹ, giới hạn vị thế, biên độ dao động giá, cơ chế bình ổn và các công cụ hỗ trợ hoạt động phòng ngừa rủi ro (hedging).</w:t>
      </w:r>
    </w:p>
    <w:p w14:paraId="16306D73" w14:textId="6D62CB22"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Tạo cơ chế linh hoạt để cập nhật, đa dạng hóa sản phẩm và thiết kế các công cụ phù hợp với đặc thù từng nhóm hàng hóa; đồng thời tăng cường liên kết giữa thị trường phái sinh và thị trường hàng hóa thực.</w:t>
      </w:r>
    </w:p>
    <w:p w14:paraId="03F41D55" w14:textId="1970C489"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c) Phương án chính sách</w:t>
      </w:r>
    </w:p>
    <w:p w14:paraId="75249A03"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sz w:val="28"/>
          <w:szCs w:val="28"/>
          <w:u w:val="single"/>
        </w:rPr>
        <w:t>Phương án 1</w:t>
      </w:r>
      <w:r w:rsidRPr="00E24417">
        <w:rPr>
          <w:sz w:val="28"/>
          <w:szCs w:val="28"/>
        </w:rPr>
        <w:t>:</w:t>
      </w:r>
      <w:r w:rsidRPr="00E24417">
        <w:rPr>
          <w:bCs/>
          <w:sz w:val="28"/>
          <w:szCs w:val="28"/>
        </w:rPr>
        <w:t xml:space="preserve"> Luật quy định cụ thể, chi tiết các loại hợp đồng phái sinh, danh mục hàng hóa cơ sở, cơ chế niêm yết – hủy niêm yết, các thông số kỹ thuật của hợp đồng và quy tắc giao dịch chủ yếu trên thị trường; đồng thời quy định chi tiết các công cụ quản lý rủi ro nhằm chuẩn hóa và tăng cường kiểm soát thị trường.</w:t>
      </w:r>
    </w:p>
    <w:p w14:paraId="18356D2A"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sz w:val="28"/>
          <w:szCs w:val="28"/>
          <w:u w:val="single"/>
        </w:rPr>
        <w:t>Phương án 2:</w:t>
      </w:r>
      <w:r w:rsidRPr="00E24417">
        <w:rPr>
          <w:bCs/>
          <w:sz w:val="28"/>
          <w:szCs w:val="28"/>
        </w:rPr>
        <w:t xml:space="preserve"> Luật quy định các nguyên tắc và khung pháp lý chung đối với sản phẩm phái sinh và hoạt động giao dịch, bao gồm nguyên tắc xác định hàng hóa cơ sở, các loại hợp đồng cơ bản, nguyên tắc niêm yết – hủy niêm yết, giao dịch và quản lý rủi ro; các nội dung chi tiết về danh mục sản phẩm, cấu trúc hợp đồng, thông số kỹ thuật và cơ chế quản lý rủi ro được giao Chính phủ và cơ quan quản lý quy định.</w:t>
      </w:r>
    </w:p>
    <w:p w14:paraId="0BD79127" w14:textId="77777777"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d) Giải pháp lựa chọn</w:t>
      </w:r>
    </w:p>
    <w:p w14:paraId="026497E4"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i/>
          <w:iCs/>
          <w:sz w:val="28"/>
          <w:szCs w:val="28"/>
        </w:rPr>
      </w:pPr>
      <w:r w:rsidRPr="00E24417">
        <w:rPr>
          <w:bCs/>
          <w:sz w:val="28"/>
          <w:szCs w:val="28"/>
        </w:rPr>
        <w:t xml:space="preserve">Đề xuất lựa chọn </w:t>
      </w:r>
      <w:r w:rsidRPr="00E24417">
        <w:rPr>
          <w:b/>
          <w:bCs/>
          <w:i/>
          <w:iCs/>
          <w:sz w:val="28"/>
          <w:szCs w:val="28"/>
        </w:rPr>
        <w:t>Phương án 2 (Luật quy định khung, nguyên tắc; giao Chính phủ quy định chi tiết)</w:t>
      </w:r>
      <w:r w:rsidRPr="00E24417">
        <w:rPr>
          <w:bCs/>
          <w:i/>
          <w:iCs/>
          <w:sz w:val="28"/>
          <w:szCs w:val="28"/>
        </w:rPr>
        <w:t>.</w:t>
      </w:r>
    </w:p>
    <w:p w14:paraId="6823B6FB"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Phương án này phù hợp với đặc thù thị trường hàng hóa phái sinh có tính biến động nhanh và yêu cầu đổi mới sản phẩm liên tục; cho phép cơ quan quản lý </w:t>
      </w:r>
      <w:r w:rsidRPr="00E24417">
        <w:rPr>
          <w:bCs/>
          <w:sz w:val="28"/>
          <w:szCs w:val="28"/>
        </w:rPr>
        <w:lastRenderedPageBreak/>
        <w:t>linh hoạt điều chỉnh danh mục sản phẩm, cấu trúc hợp đồng và quy tắc giao dịch theo diễn biến thị trường và thông lệ quốc tế.</w:t>
      </w:r>
    </w:p>
    <w:p w14:paraId="3D2F9B05" w14:textId="10E29A8A"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Đồng thời, cách tiếp cận này phù hợp với định hướng xây dựng Luật theo hướng khung, giảm can thiệp hành chính, tạo điều kiện phát triển đa dạng sản phẩm, thiết kế các cơ chế đặc thù (như sản phẩm năng lượng, cơ chế bảo hiểm rủi ro, miễn trừ vị thế), qua đó nâng cao hiệu quả phòng ngừa rủi ro, tăng khả năng thu hút nhà đầu tư và thúc đẩy liên kết với thị trường hàng hóa thực.</w:t>
      </w:r>
    </w:p>
    <w:p w14:paraId="665AE582" w14:textId="77777777" w:rsidR="00BB52BB" w:rsidRPr="00E24417" w:rsidRDefault="00BB52B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Việc giao Chính phủ quy định chi tiết cũng giúp bảo đảm tính khả thi, triển khai theo lộ trình phù hợp với năng lực thị trường và yêu cầu quản lý, đồng thời tạo dư địa cho đổi mới sáng tạo và hội nhập quốc tế.</w:t>
      </w:r>
    </w:p>
    <w:p w14:paraId="51453576" w14:textId="35ECC039" w:rsidR="00547DA2" w:rsidRPr="00E24417" w:rsidRDefault="00547DA2" w:rsidP="001F10F9">
      <w:pPr>
        <w:pStyle w:val="NormalWeb"/>
        <w:tabs>
          <w:tab w:val="left" w:pos="993"/>
        </w:tabs>
        <w:spacing w:before="120" w:beforeAutospacing="0" w:after="0" w:afterAutospacing="0" w:line="264" w:lineRule="auto"/>
        <w:ind w:firstLine="720"/>
        <w:jc w:val="both"/>
        <w:rPr>
          <w:b/>
          <w:sz w:val="28"/>
          <w:szCs w:val="28"/>
        </w:rPr>
      </w:pPr>
      <w:r w:rsidRPr="00E24417">
        <w:rPr>
          <w:b/>
          <w:sz w:val="28"/>
          <w:szCs w:val="28"/>
        </w:rPr>
        <w:t>4. Nhóm chính sách 4: Quản lý rủi ro hệ thống, giám sát thị trường và bảo vệ nhà đầu tư</w:t>
      </w:r>
    </w:p>
    <w:p w14:paraId="6720C283" w14:textId="2FC84E17"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 xml:space="preserve">a) Vấn đề cần giải quyết </w:t>
      </w:r>
    </w:p>
    <w:p w14:paraId="56734A0A" w14:textId="77777777"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Thị trường giao dịch hàng hóa phái sinh có đặc điểm sử dụng đòn bẩy tài chính, cơ chế ký quỹ và liên thông với thị trường quốc tế, do đó tiềm ẩn nhiều rủi ro như rủi ro thanh toán, rủi ro đối tác, thao túng giá, gian lận và rủi ro lan truyền trong hệ thống. Khi thiếu cơ chế kiểm soát hiệu quả, các rủi ro này có thể phát sinh nhanh và ảnh hưởng đến an toàn thị trường, thậm chí tác động đến ổn định kinh tế vĩ mô. </w:t>
      </w:r>
    </w:p>
    <w:p w14:paraId="1FEC3987" w14:textId="77777777"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Tuy nhiên, pháp luật hiện hành chưa thiết lập đầy đủ cơ chế quản lý rủi ro và giám sát thị trường theo thời gian thực; thiếu các quy định đồng bộ về phân loại nhà đầu tư, quản lý vị thế, công bố thông tin, tách biệt tài sản; đồng thời cơ chế giải quyết tranh chấp còn phân tán, chưa phù hợp với đặc thù giao dịch phái sinh. </w:t>
      </w:r>
    </w:p>
    <w:p w14:paraId="4467A5FE" w14:textId="77777777"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Những hạn chế này làm gia tăng nguy cơ thao túng, gian lận, phát sinh rủi ro hệ thống và ảnh hưởng đến quyền, lợi ích hợp pháp của các chủ thể tham gia thị trường.</w:t>
      </w:r>
    </w:p>
    <w:p w14:paraId="76F780BE" w14:textId="77777777"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b) Mục tiêu chính sách</w:t>
      </w:r>
    </w:p>
    <w:p w14:paraId="7EE57223" w14:textId="04A066B7"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Thiết lập khung pháp lý đồng bộ về quản lý rủi ro hệ thống, giám sát thị trường và bảo vệ nhà đầu tư theo hướng chủ động, có cơ chế cảnh báo sớm và can thiệp kịp thời.</w:t>
      </w:r>
    </w:p>
    <w:p w14:paraId="4358A9AB" w14:textId="1249DC73"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Chuẩn hóa các công cụ quản lý rủi ro, bao gồm quản lý ký quỹ, vị thế, công bố thông tin, báo cáo giao dịch và giám sát theo thời gian thực.</w:t>
      </w:r>
    </w:p>
    <w:p w14:paraId="3B71CFD3" w14:textId="6F24AF69"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Quy định cơ chế phân loại nhà đầu tư, tách biệt tài sản, chuẩn mực hành nghề và các biện pháp bảo vệ nhà đầu tư phù hợp với mức độ rủi ro.</w:t>
      </w:r>
    </w:p>
    <w:p w14:paraId="28217D73" w14:textId="20595331"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lastRenderedPageBreak/>
        <w:t>- Thiết lập cơ chế giải quyết tranh chấp chuyên biệt, hiệu quả (trọng tài, tòa án, cơ chế nội bộ), phù hợp với đặc thù giao dịch phái sinh, bảo đảm minh bạch và giảm chi phí xử lý.</w:t>
      </w:r>
    </w:p>
    <w:p w14:paraId="40CAF072" w14:textId="37D2AC1C" w:rsidR="00547DA2" w:rsidRPr="00E24417" w:rsidRDefault="00547DA2" w:rsidP="001F10F9">
      <w:pPr>
        <w:pStyle w:val="NormalWeb"/>
        <w:tabs>
          <w:tab w:val="left" w:pos="993"/>
        </w:tabs>
        <w:spacing w:before="120" w:beforeAutospacing="0" w:after="0" w:afterAutospacing="0" w:line="264" w:lineRule="auto"/>
        <w:ind w:firstLine="720"/>
        <w:jc w:val="both"/>
        <w:rPr>
          <w:bCs/>
          <w:i/>
          <w:iCs/>
          <w:sz w:val="28"/>
          <w:szCs w:val="28"/>
        </w:rPr>
      </w:pPr>
      <w:r w:rsidRPr="00E24417">
        <w:rPr>
          <w:bCs/>
          <w:i/>
          <w:iCs/>
          <w:sz w:val="28"/>
          <w:szCs w:val="28"/>
        </w:rPr>
        <w:t>c) Phương án chính sách</w:t>
      </w:r>
    </w:p>
    <w:p w14:paraId="720B117E" w14:textId="2715525E"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u w:val="single"/>
        </w:rPr>
        <w:t>Phương án 1</w:t>
      </w:r>
      <w:r w:rsidRPr="00E24417">
        <w:rPr>
          <w:bCs/>
          <w:sz w:val="28"/>
          <w:szCs w:val="28"/>
        </w:rPr>
        <w:t>: Thiết lập cơ chế quản lý rủi ro, giám sát thị trường và bảo vệ nhà đầu tư theo hướng tập trung, đồng bộ. Theo đó, Luật quy định các cấu phần cơ bản như: phân loại nhà đầu tư; nghĩa vụ công bố thông tin; chế độ báo cáo (đặc biệt là vị thế lớn); cơ chế tách biệt tài sản; các biện pháp giám sát, cảnh báo và can thiệp thị trường; đồng thời thiết lập cơ chế giải quyết tranh chấp chuyên biệt phù hợp với thị trường phái sinh.</w:t>
      </w:r>
    </w:p>
    <w:p w14:paraId="0DC6C361" w14:textId="77777777"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u w:val="single"/>
        </w:rPr>
        <w:t>Phương án 2:</w:t>
      </w:r>
      <w:r w:rsidRPr="00E24417">
        <w:rPr>
          <w:bCs/>
          <w:sz w:val="28"/>
          <w:szCs w:val="28"/>
        </w:rPr>
        <w:t xml:space="preserve"> Quy định nguyên tắc chung, tăng cường cơ chế tự quản của Sở giao dịch và các thành viên thị trường trong quản lý rủi ro, giám sát giao dịch và giải quyết tranh chấp; cơ quan nhà nước thực hiện giám sát ở cấp hệ thống thông qua chế độ báo cáo, thanh tra, kiểm tra.</w:t>
      </w:r>
    </w:p>
    <w:p w14:paraId="24576D93" w14:textId="15C3A612"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d) Giải pháp lựa chọn</w:t>
      </w:r>
    </w:p>
    <w:p w14:paraId="206AFA69" w14:textId="0A0D2A25"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Đề xuất lựa chọn </w:t>
      </w:r>
      <w:r w:rsidRPr="00E24417">
        <w:rPr>
          <w:b/>
          <w:i/>
          <w:iCs/>
          <w:sz w:val="28"/>
          <w:szCs w:val="28"/>
        </w:rPr>
        <w:t>Phương án 1 (thiết lập cơ chế quản lý rủi ro, giám sát thị trường và giải quyết tranh chấp theo hướng tập trung, đồng bộ).</w:t>
      </w:r>
    </w:p>
    <w:p w14:paraId="2571552C" w14:textId="0AC96827"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Phương án này phù hợp với đặc thù thị trường phái sinh có mức độ rủi ro cao và khả năng lan truyền nhanh, đòi hỏi cơ chế giám sát chặt chẽ, minh bạch và thống nhất. Việc thiết lập đầy đủ các công cụ quản lý rủi ro, cơ chế giám sát và bảo vệ nhà đầu tư sẽ góp phần hạn chế thao túng, gian lận, giảm thiểu rủi ro hệ thống và củng cố niềm tin thị trường.</w:t>
      </w:r>
    </w:p>
    <w:p w14:paraId="4D3E62AC" w14:textId="6BAD531E"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Đồng thời, việc bổ sung cơ chế giải quyết tranh chấp chuyên biệt giúp xử lý hiệu quả các tranh chấp phát sinh trong giao dịch phái sinh, giảm chi phí và thời gian xử lý, phù hợp với thông lệ quốc tế.</w:t>
      </w:r>
    </w:p>
    <w:p w14:paraId="103156D6" w14:textId="77777777" w:rsidR="005A6565" w:rsidRPr="00E24417" w:rsidRDefault="005A6565"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Các nội dung kỹ thuật và chi tiết được thiết kế theo hướng giao Chính phủ quy định nhằm bảo đảm tính linh hoạt, phù hợp với thực tiễn thị trường và năng lực quản lý trong từng giai đoạn, qua đó tạo nền tảng cho thị trường phát triển minh bạch, an toàn và bền vững.</w:t>
      </w:r>
    </w:p>
    <w:p w14:paraId="26F5B935" w14:textId="77777777" w:rsidR="005A6565" w:rsidRPr="00E24417" w:rsidRDefault="00547DA2" w:rsidP="001F10F9">
      <w:pPr>
        <w:pStyle w:val="NormalWeb"/>
        <w:tabs>
          <w:tab w:val="left" w:pos="993"/>
        </w:tabs>
        <w:spacing w:before="120" w:beforeAutospacing="0" w:after="0" w:afterAutospacing="0" w:line="264" w:lineRule="auto"/>
        <w:ind w:firstLine="720"/>
        <w:jc w:val="both"/>
        <w:rPr>
          <w:rFonts w:ascii="Times New Roman Bold" w:hAnsi="Times New Roman Bold"/>
          <w:b/>
          <w:sz w:val="28"/>
          <w:szCs w:val="28"/>
        </w:rPr>
      </w:pPr>
      <w:r w:rsidRPr="00E24417">
        <w:rPr>
          <w:rFonts w:ascii="Times New Roman Bold" w:hAnsi="Times New Roman Bold"/>
          <w:b/>
          <w:sz w:val="28"/>
          <w:szCs w:val="28"/>
        </w:rPr>
        <w:t xml:space="preserve">5. Nhóm chính sách 5: </w:t>
      </w:r>
      <w:r w:rsidR="005A6565" w:rsidRPr="00E24417">
        <w:rPr>
          <w:rFonts w:ascii="Times New Roman Bold" w:hAnsi="Times New Roman Bold"/>
          <w:b/>
          <w:sz w:val="28"/>
          <w:szCs w:val="28"/>
        </w:rPr>
        <w:t>Chính sách về quản lý nhà nước và cơ chế tổ chức, vận hành thị trường</w:t>
      </w:r>
    </w:p>
    <w:p w14:paraId="6CB580D9" w14:textId="3268942F"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a) Vấn đề cần giải quyết</w:t>
      </w:r>
    </w:p>
    <w:p w14:paraId="44CC5129" w14:textId="77777777"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Hoạt động giao dịch hàng hóa phái sinh có tính chất liên ngành cao, gắn với các lĩnh vực thương mại, tài chính, ngân hàng và công nghệ, đòi hỏi cơ chế quản lý thống nhất, chuyên sâu và phối hợp hiệu quả giữa các cơ quan. Tuy nhiên, thực tiễn hiện nay cho thấy chức năng quản lý còn phân tán, thiếu đầu mối điều </w:t>
      </w:r>
      <w:r w:rsidRPr="00E24417">
        <w:rPr>
          <w:bCs/>
          <w:sz w:val="28"/>
          <w:szCs w:val="28"/>
        </w:rPr>
        <w:lastRenderedPageBreak/>
        <w:t xml:space="preserve">phối thống nhất, chưa hình thành cơ chế quản lý chuyên trách đối với thị trường này. </w:t>
      </w:r>
    </w:p>
    <w:p w14:paraId="6D5269C8" w14:textId="77777777"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Bên cạnh đó, cơ chế phối hợp liên ngành chưa rõ ràng; vai trò của các tổ chức thị trường và cơ chế tự quản chưa được phát huy đầy đủ; trong khi đó, kinh nghiệm quốc tế cho thấy cần kết hợp giữa quản lý nhà nước tập trung và cơ chế tự quản để bảo đảm hiệu quả giám sát và phát triển thị trường. </w:t>
      </w:r>
    </w:p>
    <w:p w14:paraId="0DB12056" w14:textId="77777777"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Những hạn chế này có thể dẫn đến chồng chéo trong quản lý, giảm hiệu quả giám sát, gia tăng rủi ro hệ thống và ảnh hưởng đến sự phát triển ổn định, minh bạch của thị trường.</w:t>
      </w:r>
    </w:p>
    <w:p w14:paraId="155CE732" w14:textId="77777777"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b) Mục tiêu chính sách</w:t>
      </w:r>
    </w:p>
    <w:p w14:paraId="1D711897" w14:textId="5F158BA3"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Xác lập mô hình quản lý nhà nước thống nhất, tập trung và chuyên môn hóa đối với thị trường giao dịch hàng hóa phái sinh, bảo đảm phân định rõ thẩm quyền, trách nhiệm giữa các cơ quan liên quan.</w:t>
      </w:r>
    </w:p>
    <w:p w14:paraId="16C92B6E" w14:textId="4813D192"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Hình thành cơ chế đầu mối quản lý, tăng cường phối hợp liên ngành, nâng cao hiệu quả giám sát và kiểm soát rủi ro hệ thống.</w:t>
      </w:r>
    </w:p>
    <w:p w14:paraId="3E93D4E2" w14:textId="48CAF750"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Thiết lập cơ chế kết hợp giữa quản lý nhà nước và tự quản thị trường, phát huy vai trò của Sở giao dịch, các thành viên thị trường và tổ chức xã hội – nghề nghiệp trong xây dựng quy tắc, chuẩn mực và giám sát hoạt động thị trường.</w:t>
      </w:r>
    </w:p>
    <w:p w14:paraId="6A46CCA5" w14:textId="6AA4C89D" w:rsidR="00DE465B" w:rsidRPr="00E24417" w:rsidRDefault="00DE465B" w:rsidP="001F10F9">
      <w:pPr>
        <w:pStyle w:val="NormalWeb"/>
        <w:tabs>
          <w:tab w:val="left" w:pos="993"/>
        </w:tabs>
        <w:spacing w:before="120" w:beforeAutospacing="0" w:after="0" w:afterAutospacing="0" w:line="264" w:lineRule="auto"/>
        <w:ind w:firstLine="720"/>
        <w:jc w:val="both"/>
        <w:rPr>
          <w:b/>
          <w:bCs/>
          <w:i/>
          <w:iCs/>
          <w:sz w:val="28"/>
          <w:szCs w:val="28"/>
        </w:rPr>
      </w:pPr>
      <w:r w:rsidRPr="00E24417">
        <w:rPr>
          <w:bCs/>
          <w:sz w:val="28"/>
          <w:szCs w:val="28"/>
        </w:rPr>
        <w:t>- Bảo đảm mô hình tổ chức linh hoạt, phù hợp với từng giai đoạn phát triển của thị trường, đồng thời đáp ứng yêu cầu tinh gọn bộ máy và cải cách hành chính.</w:t>
      </w:r>
    </w:p>
    <w:p w14:paraId="28291B23" w14:textId="6F1741DE"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c) Phương án chính sách</w:t>
      </w:r>
    </w:p>
    <w:p w14:paraId="3F60FAEA" w14:textId="77777777" w:rsidR="00DE465B" w:rsidRPr="00E24417" w:rsidRDefault="00DE465B" w:rsidP="001F10F9">
      <w:pPr>
        <w:spacing w:before="120" w:line="264" w:lineRule="auto"/>
        <w:rPr>
          <w:sz w:val="28"/>
          <w:szCs w:val="28"/>
        </w:rPr>
      </w:pPr>
      <w:r w:rsidRPr="00E24417">
        <w:rPr>
          <w:sz w:val="28"/>
          <w:szCs w:val="28"/>
          <w:u w:val="single"/>
        </w:rPr>
        <w:t>Phương án 1</w:t>
      </w:r>
      <w:r w:rsidRPr="00E24417">
        <w:rPr>
          <w:sz w:val="28"/>
          <w:szCs w:val="28"/>
        </w:rPr>
        <w:t>: Luật quy định cụ thể việc thành lập thiết chế hoặc đơn vị quản lý chuyên trách đối với thị trường giao dịch hàng hóa phái sinh (có thể là cơ quan độc lập hoặc đơn vị chuyên trách trong cơ quan quản lý).</w:t>
      </w:r>
    </w:p>
    <w:p w14:paraId="0686AEB0" w14:textId="77777777" w:rsidR="00DE465B" w:rsidRPr="00E24417" w:rsidRDefault="00DE465B" w:rsidP="001F10F9">
      <w:pPr>
        <w:spacing w:before="120" w:line="264" w:lineRule="auto"/>
        <w:rPr>
          <w:bCs/>
          <w:sz w:val="28"/>
          <w:szCs w:val="28"/>
        </w:rPr>
      </w:pPr>
      <w:r w:rsidRPr="00E24417">
        <w:rPr>
          <w:sz w:val="28"/>
          <w:szCs w:val="28"/>
          <w:u w:val="single"/>
        </w:rPr>
        <w:t>Phương án 2</w:t>
      </w:r>
      <w:r w:rsidRPr="00E24417">
        <w:rPr>
          <w:sz w:val="28"/>
          <w:szCs w:val="28"/>
        </w:rPr>
        <w:t>:</w:t>
      </w:r>
      <w:r w:rsidRPr="00E24417">
        <w:rPr>
          <w:bCs/>
          <w:sz w:val="28"/>
          <w:szCs w:val="28"/>
        </w:rPr>
        <w:t xml:space="preserve"> Luật quy định nguyên tắc quản lý nhà nước; Chính phủ thống nhất quản lý và phân công Bộ Công Thương là cơ quan đầu mối, đồng thời giao Chính phủ quy định cụ thể về tổ chức bộ máy, phân công, phân cấp và cơ chế phối hợp giữa các cơ quan; kết hợp với cơ chế tự quản thị trường.</w:t>
      </w:r>
    </w:p>
    <w:p w14:paraId="626D6375" w14:textId="77777777" w:rsidR="00547DA2" w:rsidRPr="00E24417" w:rsidRDefault="00547DA2" w:rsidP="001F10F9">
      <w:pPr>
        <w:spacing w:before="120" w:line="264" w:lineRule="auto"/>
        <w:rPr>
          <w:b/>
          <w:i/>
          <w:iCs/>
          <w:kern w:val="36"/>
          <w:sz w:val="28"/>
          <w:szCs w:val="28"/>
          <w:lang w:eastAsia="en-GB"/>
        </w:rPr>
      </w:pPr>
      <w:r w:rsidRPr="00E24417">
        <w:rPr>
          <w:b/>
          <w:i/>
          <w:iCs/>
          <w:kern w:val="36"/>
          <w:sz w:val="28"/>
          <w:szCs w:val="28"/>
          <w:lang w:eastAsia="en-GB"/>
        </w:rPr>
        <w:t>d) Giải pháp lựa chọn</w:t>
      </w:r>
    </w:p>
    <w:p w14:paraId="30F75D9D" w14:textId="1CCF2EF9" w:rsidR="00DE465B" w:rsidRPr="00E24417" w:rsidRDefault="00DE465B" w:rsidP="001F10F9">
      <w:pPr>
        <w:pStyle w:val="NormalWeb"/>
        <w:tabs>
          <w:tab w:val="left" w:pos="993"/>
        </w:tabs>
        <w:spacing w:before="120" w:beforeAutospacing="0" w:after="0" w:afterAutospacing="0" w:line="264" w:lineRule="auto"/>
        <w:ind w:firstLine="720"/>
        <w:jc w:val="both"/>
        <w:rPr>
          <w:b/>
          <w:bCs/>
          <w:i/>
          <w:iCs/>
          <w:sz w:val="28"/>
          <w:szCs w:val="28"/>
        </w:rPr>
      </w:pPr>
      <w:r w:rsidRPr="00E24417">
        <w:rPr>
          <w:bCs/>
          <w:kern w:val="36"/>
          <w:sz w:val="28"/>
          <w:szCs w:val="28"/>
          <w:lang w:eastAsia="en-GB"/>
        </w:rPr>
        <w:t xml:space="preserve">Đề xuất lựa chọn </w:t>
      </w:r>
      <w:r w:rsidRPr="00E24417">
        <w:rPr>
          <w:b/>
          <w:bCs/>
          <w:i/>
          <w:iCs/>
          <w:kern w:val="36"/>
          <w:sz w:val="28"/>
          <w:szCs w:val="28"/>
          <w:lang w:eastAsia="en-GB"/>
        </w:rPr>
        <w:t xml:space="preserve">Phương án 2 </w:t>
      </w:r>
      <w:r w:rsidRPr="00E24417">
        <w:rPr>
          <w:b/>
          <w:bCs/>
          <w:i/>
          <w:iCs/>
          <w:sz w:val="28"/>
          <w:szCs w:val="28"/>
        </w:rPr>
        <w:t>(Luật quy định nguyên tắc, Chính phủ thống nhất quản lý và giao quy định chi tiết).</w:t>
      </w:r>
    </w:p>
    <w:p w14:paraId="4D85D64A" w14:textId="40379FB9" w:rsidR="00DE465B" w:rsidRPr="00E24417" w:rsidRDefault="00DE465B" w:rsidP="001F10F9">
      <w:pPr>
        <w:pStyle w:val="NormalWeb"/>
        <w:tabs>
          <w:tab w:val="left" w:pos="993"/>
        </w:tabs>
        <w:spacing w:before="120" w:beforeAutospacing="0" w:after="0" w:afterAutospacing="0" w:line="264" w:lineRule="auto"/>
        <w:ind w:firstLine="720"/>
        <w:jc w:val="both"/>
        <w:rPr>
          <w:bCs/>
          <w:kern w:val="36"/>
          <w:sz w:val="28"/>
          <w:szCs w:val="28"/>
          <w:lang w:eastAsia="en-GB"/>
        </w:rPr>
      </w:pPr>
      <w:r w:rsidRPr="00E24417">
        <w:rPr>
          <w:bCs/>
          <w:kern w:val="36"/>
          <w:sz w:val="28"/>
          <w:szCs w:val="28"/>
          <w:lang w:eastAsia="en-GB"/>
        </w:rPr>
        <w:t xml:space="preserve">Phương án này phù hợp với định hướng xây dựng pháp luật theo hướng khung, bảo đảm tính linh hoạt trong tổ chức bộ máy và cơ chế quản lý; đồng thời phù hợp với chủ trương tinh gọn bộ máy, không phát sinh thêm thiết chế mới ở cấp Trung ương. </w:t>
      </w:r>
    </w:p>
    <w:p w14:paraId="227AA894" w14:textId="77777777" w:rsidR="00DE465B" w:rsidRPr="00E24417" w:rsidRDefault="00DE465B" w:rsidP="001F10F9">
      <w:pPr>
        <w:pStyle w:val="NormalWeb"/>
        <w:tabs>
          <w:tab w:val="left" w:pos="993"/>
        </w:tabs>
        <w:spacing w:before="120" w:beforeAutospacing="0" w:after="0" w:afterAutospacing="0" w:line="264" w:lineRule="auto"/>
        <w:ind w:firstLine="720"/>
        <w:jc w:val="both"/>
        <w:rPr>
          <w:bCs/>
          <w:kern w:val="36"/>
          <w:sz w:val="28"/>
          <w:szCs w:val="28"/>
          <w:lang w:eastAsia="en-GB"/>
        </w:rPr>
      </w:pPr>
      <w:r w:rsidRPr="00E24417">
        <w:rPr>
          <w:bCs/>
          <w:kern w:val="36"/>
          <w:sz w:val="28"/>
          <w:szCs w:val="28"/>
          <w:lang w:eastAsia="en-GB"/>
        </w:rPr>
        <w:lastRenderedPageBreak/>
        <w:t>Việc giao Chính phủ quy định chi tiết cho phép điều chỉnh mô hình tổ chức và cơ chế vận hành theo từng giai đoạn phát triển của thị trường, bảo đảm tính khả thi, giảm chi phí tổ chức và tăng hiệu quả thực thi. Đồng thời, mô hình này tạo điều kiện tăng cường phối hợp liên ngành và phát huy vai trò tự quản của thị trường, góp phần nâng cao hiệu quả giám sát, bảo đảm thị trường vận hành minh bạch, an toàn và bền vững.</w:t>
      </w:r>
    </w:p>
    <w:p w14:paraId="2DA3B33F" w14:textId="77777777" w:rsidR="00DE465B" w:rsidRPr="00E24417" w:rsidRDefault="00547DA2" w:rsidP="001F10F9">
      <w:pPr>
        <w:pStyle w:val="NormalWeb"/>
        <w:tabs>
          <w:tab w:val="left" w:pos="993"/>
        </w:tabs>
        <w:spacing w:before="120" w:beforeAutospacing="0" w:after="0" w:afterAutospacing="0" w:line="264" w:lineRule="auto"/>
        <w:ind w:firstLine="720"/>
        <w:jc w:val="both"/>
        <w:rPr>
          <w:b/>
          <w:sz w:val="28"/>
          <w:szCs w:val="28"/>
        </w:rPr>
      </w:pPr>
      <w:r w:rsidRPr="00E24417">
        <w:rPr>
          <w:b/>
          <w:sz w:val="28"/>
          <w:szCs w:val="28"/>
        </w:rPr>
        <w:t xml:space="preserve">6. Nhóm chính sách 6: </w:t>
      </w:r>
      <w:r w:rsidR="00DE465B" w:rsidRPr="00E24417">
        <w:rPr>
          <w:b/>
          <w:sz w:val="28"/>
          <w:szCs w:val="28"/>
        </w:rPr>
        <w:t>Chính sách về hội nhập quốc tế và quản lý giao dịch hàng hóa phái sinh xuyên biên giới</w:t>
      </w:r>
    </w:p>
    <w:p w14:paraId="2D342CB8" w14:textId="7109A204" w:rsidR="00DE465B" w:rsidRPr="00E24417" w:rsidRDefault="00547DA2" w:rsidP="001F10F9">
      <w:pPr>
        <w:pStyle w:val="NormalWeb"/>
        <w:tabs>
          <w:tab w:val="left" w:pos="993"/>
        </w:tabs>
        <w:spacing w:before="120" w:beforeAutospacing="0" w:after="0" w:afterAutospacing="0" w:line="264" w:lineRule="auto"/>
        <w:ind w:firstLine="720"/>
        <w:jc w:val="both"/>
        <w:rPr>
          <w:bCs/>
          <w:sz w:val="28"/>
          <w:szCs w:val="28"/>
        </w:rPr>
      </w:pPr>
      <w:r w:rsidRPr="00E24417">
        <w:rPr>
          <w:b/>
          <w:i/>
          <w:iCs/>
          <w:sz w:val="28"/>
          <w:szCs w:val="28"/>
        </w:rPr>
        <w:t>a) Vấn đề cần giải quyết</w:t>
      </w:r>
    </w:p>
    <w:p w14:paraId="3F6BB5F6" w14:textId="2117E836"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Trong bối cảnh thị trường hàng hóa phái sinh toàn cầu phát triển theo hướng liên thông, kết nối xuyên biên giới và gắn với chuỗi giá trị toàn cầu, việc tham gia và kết nối với thị trường quốc tế là yêu cầu tất yếu để nâng cao hiệu quả phân bổ nguồn lực và năng lực phòng ngừa rủi ro của nền kinh tế. </w:t>
      </w:r>
    </w:p>
    <w:p w14:paraId="2230859F" w14:textId="77777777"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xml:space="preserve">Tại Việt Nam, pháp luật hiện hành đã bước đầu cho phép liên thông với các Sở giao dịch hàng hóa quốc tế, tuy nhiên cơ chế này chủ yếu dừng ở hình thức tiếp nhận và chuyển lệnh thông qua trung gian, chưa phản ánh đầy đủ bản chất liên thông thị trường, chưa hình thành cơ chế kết nối hai chiều và chưa tạo điều kiện phát triển các sản phẩm gắn với hàng hóa thực của Việt Nam. Đồng thời, khung pháp lý về giao dịch xuyên biên giới còn thiếu và phân tán, đặc biệt đối với các vấn đề như quản lý dòng tiền, chia sẻ dữ liệu, phối hợp giám sát và giải quyết tranh chấp quốc tế. </w:t>
      </w:r>
    </w:p>
    <w:p w14:paraId="3A82E3C7" w14:textId="77777777"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Những hạn chế này làm giảm mức độ hội nhập, hạn chế khả năng thu hút thanh khoản, dòng vốn, công nghệ và kinh nghiệm quản lý quốc tế, đồng thời tiềm ẩn rủi ro đối với quản lý ngoại hối, an toàn hệ thống và an ninh kinh tế.</w:t>
      </w:r>
    </w:p>
    <w:p w14:paraId="2EAD4417" w14:textId="4A6919EA"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b) Mục tiêu chính sách</w:t>
      </w:r>
    </w:p>
    <w:p w14:paraId="37B7C52E" w14:textId="383F8951"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Thiết lập khuôn khổ pháp lý cho hoạt động hội nhập quốc tế và giao dịch xuyên biên giới theo hướng chủ động, có kiểm soát, phù hợp với thông lệ quốc tế và điều kiện phát triển của Việt Nam.</w:t>
      </w:r>
    </w:p>
    <w:p w14:paraId="20144F2D" w14:textId="72C8F079"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Tạo cơ sở pháp lý cho việc liên thông với các Sở giao dịch hàng hóa quốc tế trên nguyên tắc công nhận tương đương, kết nối hệ thống và phối hợp giám sát.</w:t>
      </w:r>
    </w:p>
    <w:p w14:paraId="462E468B" w14:textId="79D7D3A5"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Bảo đảm quản lý rủi ro xuyên biên giới, bao gồm quản lý dòng tiền, ký quỹ, thanh toán bù trừ, chia sẻ dữ liệu và bảo vệ nhà đầu tư.</w:t>
      </w:r>
    </w:p>
    <w:p w14:paraId="6C437C17" w14:textId="7CC19B17" w:rsidR="00DE465B" w:rsidRPr="00E24417" w:rsidRDefault="00DE465B" w:rsidP="001F10F9">
      <w:pPr>
        <w:pStyle w:val="NormalWeb"/>
        <w:tabs>
          <w:tab w:val="left" w:pos="993"/>
        </w:tabs>
        <w:spacing w:before="120" w:beforeAutospacing="0" w:after="0" w:afterAutospacing="0" w:line="264" w:lineRule="auto"/>
        <w:ind w:firstLine="720"/>
        <w:jc w:val="both"/>
        <w:rPr>
          <w:bCs/>
          <w:sz w:val="28"/>
          <w:szCs w:val="28"/>
        </w:rPr>
      </w:pPr>
      <w:r w:rsidRPr="00E24417">
        <w:rPr>
          <w:bCs/>
          <w:sz w:val="28"/>
          <w:szCs w:val="28"/>
        </w:rPr>
        <w:t>- Tạo điều kiện phát triển các sản phẩm phái sinh gắn với hàng hóa thế mạnh của Việt Nam, từng bước tham gia vào quá trình hình thành giá khu vực và quốc tế.</w:t>
      </w:r>
    </w:p>
    <w:p w14:paraId="26EE2234" w14:textId="31C1A0D3" w:rsidR="00547DA2" w:rsidRPr="00E24417" w:rsidRDefault="00547DA2" w:rsidP="001F10F9">
      <w:pPr>
        <w:pStyle w:val="NormalWeb"/>
        <w:tabs>
          <w:tab w:val="left" w:pos="993"/>
        </w:tabs>
        <w:spacing w:before="120" w:beforeAutospacing="0" w:after="0" w:afterAutospacing="0" w:line="264" w:lineRule="auto"/>
        <w:ind w:firstLine="720"/>
        <w:jc w:val="both"/>
        <w:rPr>
          <w:b/>
          <w:i/>
          <w:iCs/>
          <w:sz w:val="28"/>
          <w:szCs w:val="28"/>
        </w:rPr>
      </w:pPr>
      <w:r w:rsidRPr="00E24417">
        <w:rPr>
          <w:b/>
          <w:i/>
          <w:iCs/>
          <w:sz w:val="28"/>
          <w:szCs w:val="28"/>
        </w:rPr>
        <w:t>c) Phương án chính sách</w:t>
      </w:r>
    </w:p>
    <w:p w14:paraId="118E4D0F" w14:textId="77777777" w:rsidR="00DE465B" w:rsidRPr="00E24417" w:rsidRDefault="00DE465B" w:rsidP="001F10F9">
      <w:pPr>
        <w:pStyle w:val="NormalWeb"/>
        <w:tabs>
          <w:tab w:val="left" w:pos="993"/>
        </w:tabs>
        <w:spacing w:before="120" w:beforeAutospacing="0" w:after="0" w:afterAutospacing="0" w:line="264" w:lineRule="auto"/>
        <w:ind w:firstLine="720"/>
        <w:jc w:val="both"/>
        <w:rPr>
          <w:rFonts w:eastAsiaTheme="minorHAnsi"/>
          <w:kern w:val="2"/>
          <w:sz w:val="28"/>
          <w:szCs w:val="28"/>
          <w14:ligatures w14:val="standardContextual"/>
        </w:rPr>
      </w:pPr>
      <w:r w:rsidRPr="00E24417">
        <w:rPr>
          <w:rFonts w:eastAsiaTheme="minorHAnsi"/>
          <w:kern w:val="2"/>
          <w:sz w:val="28"/>
          <w:szCs w:val="28"/>
          <w:u w:val="single"/>
          <w14:ligatures w14:val="standardContextual"/>
        </w:rPr>
        <w:lastRenderedPageBreak/>
        <w:t>Phương án 1:</w:t>
      </w:r>
      <w:r w:rsidRPr="00E24417">
        <w:rPr>
          <w:rFonts w:eastAsiaTheme="minorHAnsi"/>
          <w:kern w:val="2"/>
          <w:sz w:val="28"/>
          <w:szCs w:val="28"/>
          <w14:ligatures w14:val="standardContextual"/>
        </w:rPr>
        <w:t xml:space="preserve"> Thiết lập cơ chế liên thông trực tiếp giữa Sở giao dịch hàng hóa Việt Nam và các Sở giao dịch quốc tế trên cơ sở công nhận tương đương, kết nối hệ thống và phối hợp giám sát; quy định các nguyên tắc về quản lý rủi ro xuyên biên giới, chia sẻ dữ liệu, công bố thông tin và giải quyết tranh chấp.</w:t>
      </w:r>
    </w:p>
    <w:p w14:paraId="1B2EEB07" w14:textId="77777777" w:rsidR="00DE465B" w:rsidRPr="00E24417" w:rsidRDefault="00DE465B" w:rsidP="001F10F9">
      <w:pPr>
        <w:pStyle w:val="NormalWeb"/>
        <w:tabs>
          <w:tab w:val="left" w:pos="993"/>
        </w:tabs>
        <w:spacing w:before="120" w:beforeAutospacing="0" w:after="0" w:afterAutospacing="0" w:line="264" w:lineRule="auto"/>
        <w:ind w:firstLine="720"/>
        <w:jc w:val="both"/>
        <w:rPr>
          <w:rFonts w:eastAsiaTheme="minorHAnsi"/>
          <w:bCs/>
          <w:kern w:val="2"/>
          <w:sz w:val="28"/>
          <w:szCs w:val="28"/>
          <w14:ligatures w14:val="standardContextual"/>
        </w:rPr>
      </w:pPr>
      <w:r w:rsidRPr="00E24417">
        <w:rPr>
          <w:rFonts w:eastAsiaTheme="minorHAnsi"/>
          <w:kern w:val="2"/>
          <w:sz w:val="28"/>
          <w:szCs w:val="28"/>
          <w:u w:val="single"/>
          <w14:ligatures w14:val="standardContextual"/>
        </w:rPr>
        <w:t>Phương án 2:</w:t>
      </w:r>
      <w:r w:rsidRPr="00E24417">
        <w:rPr>
          <w:rFonts w:eastAsiaTheme="minorHAnsi"/>
          <w:bCs/>
          <w:kern w:val="2"/>
          <w:sz w:val="28"/>
          <w:szCs w:val="28"/>
          <w14:ligatures w14:val="standardContextual"/>
        </w:rPr>
        <w:t xml:space="preserve"> Cho phép liên thông thông qua các tổ chức trung gian trong nước (Sở giao dịch, ngân hàng, công ty môi giới), các tổ chức này thực hiện tiếp nhận và chuyển lệnh, đồng thời chịu trách nhiệm quản lý rủi ro và tuân thủ pháp luật Việt Nam.</w:t>
      </w:r>
    </w:p>
    <w:p w14:paraId="15AB1F20" w14:textId="77777777" w:rsidR="00547DA2" w:rsidRPr="00E24417" w:rsidRDefault="00547DA2" w:rsidP="001F10F9">
      <w:pPr>
        <w:pStyle w:val="NormalWeb"/>
        <w:tabs>
          <w:tab w:val="left" w:pos="993"/>
        </w:tabs>
        <w:spacing w:before="120" w:beforeAutospacing="0" w:after="0" w:afterAutospacing="0" w:line="264" w:lineRule="auto"/>
        <w:ind w:firstLine="720"/>
        <w:jc w:val="both"/>
        <w:rPr>
          <w:rFonts w:eastAsiaTheme="minorHAnsi"/>
          <w:bCs/>
          <w:kern w:val="2"/>
          <w:sz w:val="28"/>
          <w:szCs w:val="28"/>
          <w14:ligatures w14:val="standardContextual"/>
        </w:rPr>
      </w:pPr>
      <w:r w:rsidRPr="00E24417">
        <w:rPr>
          <w:b/>
          <w:i/>
          <w:iCs/>
          <w:sz w:val="28"/>
          <w:szCs w:val="28"/>
        </w:rPr>
        <w:t>d) Giải pháp lựa chọn</w:t>
      </w:r>
    </w:p>
    <w:p w14:paraId="40381C95" w14:textId="0FB5073A" w:rsidR="00DE465B" w:rsidRPr="00E24417" w:rsidRDefault="00DE465B"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rPr>
        <w:t xml:space="preserve">Đề xuất lựa chọn </w:t>
      </w:r>
      <w:r w:rsidRPr="00E24417">
        <w:rPr>
          <w:b/>
          <w:bCs/>
          <w:i/>
          <w:iCs/>
          <w:sz w:val="28"/>
          <w:szCs w:val="28"/>
        </w:rPr>
        <w:t>Phương án 1 (liên thông trực tiếp với Sở giao dịch quốc tế)</w:t>
      </w:r>
      <w:r w:rsidRPr="00E24417">
        <w:rPr>
          <w:b/>
          <w:bCs/>
          <w:sz w:val="28"/>
          <w:szCs w:val="28"/>
        </w:rPr>
        <w:t xml:space="preserve"> </w:t>
      </w:r>
      <w:r w:rsidRPr="00E24417">
        <w:rPr>
          <w:bCs/>
          <w:sz w:val="28"/>
          <w:szCs w:val="28"/>
        </w:rPr>
        <w:t>theo lộ trình phù hợp.</w:t>
      </w:r>
    </w:p>
    <w:p w14:paraId="43AD698E" w14:textId="77777777" w:rsidR="00DE465B" w:rsidRPr="00E24417" w:rsidRDefault="00DE465B"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rPr>
        <w:t xml:space="preserve">Phương án này phù hợp với xu hướng phát triển của thị trường toàn cầu, góp phần nâng cao mức độ hội nhập, mở rộng thanh khoản, thu hút nguồn lực quốc tế và nâng cao khả năng phòng ngừa rủi ro cho doanh nghiệp. Đồng thời, cơ chế này tạo điều kiện phát triển các hợp đồng hàng hóa gắn với lợi thế của Việt Nam, từng bước tham gia vào quá trình hình thành giá trên thị trường khu vực và quốc tế. </w:t>
      </w:r>
    </w:p>
    <w:p w14:paraId="6EB735DD" w14:textId="77777777" w:rsidR="00DE465B" w:rsidRPr="00E24417" w:rsidRDefault="00DE465B"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rPr>
        <w:t>Để bảo đảm tính khả thi và kiểm soát rủi ro, việc triển khai cần thực hiện theo lộ trình, gắn với việc hoàn thiện đồng bộ các quy định về ngoại hối, thanh toán, giám sát thị trường và cơ chế phối hợp liên ngành; đồng thời kết hợp với các biện pháp kiểm soát rủi ro xuyên biên giới nhằm bảo đảm an toàn hệ thống và an ninh kinh tế.</w:t>
      </w:r>
    </w:p>
    <w:p w14:paraId="16B4C6DC" w14:textId="77777777"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
          <w:sz w:val="28"/>
          <w:szCs w:val="28"/>
        </w:rPr>
      </w:pPr>
      <w:r w:rsidRPr="00E24417">
        <w:rPr>
          <w:b/>
          <w:sz w:val="28"/>
          <w:szCs w:val="28"/>
        </w:rPr>
        <w:t>7. Nhóm chính sách 7: Chính sách đặc thù trong IFC và cơ chế ưu đãi</w:t>
      </w:r>
    </w:p>
    <w:p w14:paraId="478E8014" w14:textId="7146E15C"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
          <w:i/>
          <w:iCs/>
          <w:sz w:val="28"/>
          <w:szCs w:val="28"/>
        </w:rPr>
      </w:pPr>
      <w:r w:rsidRPr="00E24417">
        <w:rPr>
          <w:b/>
          <w:i/>
          <w:iCs/>
          <w:sz w:val="28"/>
          <w:szCs w:val="28"/>
        </w:rPr>
        <w:t>a) Vấn đề cần giải quyết</w:t>
      </w:r>
    </w:p>
    <w:p w14:paraId="2D5CD321" w14:textId="47406DBF"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rPr>
        <w:t>Thị trường giao dịch hàng hóa phái sinh tại Việt Nam đã hình thành nhưng quy mô và thanh khoản còn thấp, cơ cấu chủ thể tham gia chưa cân bằng, đặc biệt sự tham gia của các doanh nghiệp gắn với thị trường hàng hóa thực còn hạn chế. Đồng thời, pháp luật hiện hành chưa có cơ chế đủ rõ và đủ mạnh để thu hút các chủ thể tham gia thị trường, chưa phân loại chủ thể theo mức độ rủi ro để áp dụng cơ chế quản lý phù hợp.</w:t>
      </w:r>
    </w:p>
    <w:p w14:paraId="24B3801E" w14:textId="0DBF24D0"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rPr>
        <w:t>Bên cạnh đó, giữa Sở giao dịch hàng hóa trong Trung tâm tài chính quốc tế (IFC) và ngoài IFC tồn tại sự khác biệt về cơ chế chính sách. Trong khi khu vực IFC đã có một số cơ chế đặc thù theo Nghị quyết số 222/2025/QH15, thì khu vực ngoài IFC còn thiếu các chính sách phát triển thị trường đủ mạnh để mở rộng cơ sở nhà đầu tư, nâng cao thanh khoản và thúc đẩy doanh nghiệp sử dụng công cụ phái sinh.</w:t>
      </w:r>
    </w:p>
    <w:p w14:paraId="54BCF878" w14:textId="78F3ECAB"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rPr>
        <w:t xml:space="preserve">Do đó, cần thiết thiết lập khuôn khổ pháp lý ở cấp luật để quy định nguyên </w:t>
      </w:r>
      <w:r w:rsidRPr="00E24417">
        <w:rPr>
          <w:bCs/>
          <w:sz w:val="28"/>
          <w:szCs w:val="28"/>
        </w:rPr>
        <w:lastRenderedPageBreak/>
        <w:t>tắc phát triển thị trường, thu hút và phân loại chủ thể tham gia, đồng thời tạo cơ sở cho việc áp dụng cơ chế đặc thù và chính sách ưu đãi phù hợp theo từng khu vực và giai đoạn phát triển.</w:t>
      </w:r>
    </w:p>
    <w:p w14:paraId="7094EB1B" w14:textId="77777777"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
          <w:i/>
          <w:iCs/>
          <w:sz w:val="28"/>
          <w:szCs w:val="28"/>
        </w:rPr>
      </w:pPr>
      <w:r w:rsidRPr="00E24417">
        <w:rPr>
          <w:b/>
          <w:i/>
          <w:iCs/>
          <w:sz w:val="28"/>
          <w:szCs w:val="28"/>
        </w:rPr>
        <w:t>b) Mục tiêu chính sách</w:t>
      </w:r>
    </w:p>
    <w:p w14:paraId="1C0C7102" w14:textId="50E19918"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rPr>
        <w:t>- Thiết lập nguyên tắc phát triển thị trường giao dịch hàng hóa phái sinh theo hướng mở rộng, đa dạng hóa và nâng cao chất lượng chủ thể tham gia.</w:t>
      </w:r>
    </w:p>
    <w:p w14:paraId="2458197E" w14:textId="1765A764"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rPr>
        <w:t>- Tạo cơ sở pháp lý để thiết kế các cơ chế khuyến khích, ưu đãi phù hợp nhằm thu hút doanh nghiệp, đặc biệt là các chủ thể gắn với thị trường hàng hóa thực tham gia thị trường.</w:t>
      </w:r>
    </w:p>
    <w:p w14:paraId="62D6C05A" w14:textId="160FCE56"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rPr>
        <w:t>- Phân loại chủ thể tham gia theo mức độ rủi ro và tính chuyên nghiệp để áp dụng cơ chế quản lý, bảo vệ và ưu đãi phù hợp.</w:t>
      </w:r>
    </w:p>
    <w:p w14:paraId="639E24C5" w14:textId="7089D141"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rPr>
        <w:t>- Bảo đảm sự khác biệt hợp lý về cơ chế chính sách giữa Sở giao dịch hàng hóa trong IFC và ngoài IFC, phù hợp với định hướng phát triển và yêu cầu hội nhập.</w:t>
      </w:r>
    </w:p>
    <w:p w14:paraId="1910FAAB" w14:textId="722D9070"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
          <w:i/>
          <w:iCs/>
          <w:sz w:val="28"/>
          <w:szCs w:val="28"/>
        </w:rPr>
      </w:pPr>
      <w:r w:rsidRPr="00E24417">
        <w:rPr>
          <w:b/>
          <w:i/>
          <w:iCs/>
          <w:sz w:val="28"/>
          <w:szCs w:val="28"/>
        </w:rPr>
        <w:t>c) Phương án chính sách</w:t>
      </w:r>
    </w:p>
    <w:p w14:paraId="6875ABA7" w14:textId="590B1332"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u w:val="single"/>
        </w:rPr>
        <w:t>Phương án 1</w:t>
      </w:r>
      <w:r w:rsidRPr="00E24417">
        <w:rPr>
          <w:bCs/>
          <w:sz w:val="28"/>
          <w:szCs w:val="28"/>
        </w:rPr>
        <w:t>: Luật quy định cụ thể, chi tiết về chính sách phát triển thị trường, bao gồm phân loại chủ thể tham gia, điều kiện, quyền và nghĩa vụ của từng nhóm; cơ chế khuyến khích giao dịch tập trung; chính sách ưu đãi và nguyên tắc áp dụng cơ chế đặc thù đối với Sở giao dịch trong IFC và ngoài IFC.</w:t>
      </w:r>
    </w:p>
    <w:p w14:paraId="132628F9" w14:textId="18EC3E68"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u w:val="single"/>
        </w:rPr>
        <w:t>Phương án 2</w:t>
      </w:r>
      <w:r w:rsidRPr="00E24417">
        <w:rPr>
          <w:bCs/>
          <w:sz w:val="28"/>
          <w:szCs w:val="28"/>
        </w:rPr>
        <w:t>: Luật quy định các nguyên tắc chung về phát triển thị trường, phân loại chủ thể tham gia và cơ chế khuyến khích; giao Chính phủ quy định chi tiết về điều kiện tham gia, tiêu chí phân loại, chính sách ưu đãi và cơ chế đặc thù áp dụng đối với Sở giao dịch trong IFC và ngoài IFC.</w:t>
      </w:r>
    </w:p>
    <w:p w14:paraId="790E162B" w14:textId="3A22DC12"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
          <w:i/>
          <w:iCs/>
          <w:sz w:val="28"/>
          <w:szCs w:val="28"/>
        </w:rPr>
      </w:pPr>
      <w:r w:rsidRPr="00E24417">
        <w:rPr>
          <w:b/>
          <w:i/>
          <w:iCs/>
          <w:sz w:val="28"/>
          <w:szCs w:val="28"/>
        </w:rPr>
        <w:t>d) Giải pháp lựa chọn</w:t>
      </w:r>
    </w:p>
    <w:p w14:paraId="3052A332" w14:textId="3AE6BE81"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
          <w:i/>
          <w:iCs/>
          <w:sz w:val="28"/>
          <w:szCs w:val="28"/>
        </w:rPr>
      </w:pPr>
      <w:r w:rsidRPr="00E24417">
        <w:rPr>
          <w:bCs/>
          <w:sz w:val="28"/>
          <w:szCs w:val="28"/>
        </w:rPr>
        <w:t xml:space="preserve">Đề xuất lựa chọn </w:t>
      </w:r>
      <w:r w:rsidRPr="00E24417">
        <w:rPr>
          <w:b/>
          <w:i/>
          <w:iCs/>
          <w:sz w:val="28"/>
          <w:szCs w:val="28"/>
        </w:rPr>
        <w:t>Phương án 2 (Luật quy định nguyên tắc về phát triển thị trường, phân loại chủ thể tham gia và cơ chế khuyến khích; giao Chính phủ quy định chi tiết, trong đó có phân biệt cơ chế áp dụng đối với SGDHH trong IFC và ngoài IFC).</w:t>
      </w:r>
    </w:p>
    <w:p w14:paraId="060A92EE" w14:textId="4373BCFF"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rPr>
        <w:t>Phương án này phù hợp với định hướng xây dựng Luật theo hướng khung, bảo đảm tính linh hoạt trong thiết kế và điều chỉnh chính sách phát triển thị trường theo từng giai đoạn; đồng thời tạo điều kiện xử lý hài hòa giữa khuôn khổ pháp lý chung và các cơ chế đặc thù trong IFC.</w:t>
      </w:r>
    </w:p>
    <w:p w14:paraId="64A12C7B" w14:textId="5EB35667" w:rsidR="00F9277A" w:rsidRPr="00E24417" w:rsidRDefault="00F9277A"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Cs/>
          <w:sz w:val="28"/>
          <w:szCs w:val="28"/>
        </w:rPr>
      </w:pPr>
      <w:r w:rsidRPr="00E24417">
        <w:rPr>
          <w:bCs/>
          <w:sz w:val="28"/>
          <w:szCs w:val="28"/>
        </w:rPr>
        <w:t>Việc giao Chính phủ quy định chi tiết giúp kịp thời điều chỉnh chính sách nhằm thu hút chủ thể tham gia, thúc đẩy thanh khoản, phát triển hệ sinh thái thị trường và bảo đảm cân bằng giữa mục tiêu phát triển và kiểm soát rủi ro, phù hợp với thực tiễn thị trường còn đang trong giai đoạn hình thành.</w:t>
      </w:r>
    </w:p>
    <w:p w14:paraId="5A73446A" w14:textId="77777777" w:rsidR="004D4C6C" w:rsidRPr="00E24417" w:rsidRDefault="00F87A87"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
          <w:sz w:val="28"/>
          <w:szCs w:val="28"/>
          <w:lang w:val="vi-VN"/>
        </w:rPr>
      </w:pPr>
      <w:r w:rsidRPr="00E24417">
        <w:rPr>
          <w:b/>
          <w:sz w:val="28"/>
          <w:szCs w:val="28"/>
          <w:lang w:val="vi-VN"/>
        </w:rPr>
        <w:lastRenderedPageBreak/>
        <w:t xml:space="preserve">VI. NHỮNG NỘI DUNG BỔ SUNG MỚI SO VỚI HỒ SƠ CHÍNH SÁCH GỬI THẨM ĐỊNH (NẾU CÓ)* </w:t>
      </w:r>
    </w:p>
    <w:p w14:paraId="7C27708C" w14:textId="77777777" w:rsidR="00AA03B4" w:rsidRPr="00E24417" w:rsidRDefault="00F87A87"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
          <w:sz w:val="28"/>
          <w:szCs w:val="28"/>
          <w:lang w:val="vi-VN"/>
        </w:rPr>
      </w:pPr>
      <w:r w:rsidRPr="00E24417">
        <w:rPr>
          <w:b/>
          <w:sz w:val="28"/>
          <w:szCs w:val="28"/>
          <w:lang w:val="vi-VN"/>
        </w:rPr>
        <w:t>VII. DỰ KIẾN NGUỒN LỰC, ĐIỀU KIỆN BẢO ĐẢM CHO VIỆC THỰC HIỆN CHÍNH SÁCH</w:t>
      </w:r>
    </w:p>
    <w:p w14:paraId="73AEF93D" w14:textId="44188808" w:rsidR="004D4C6C" w:rsidRPr="00E24417" w:rsidRDefault="007154C7"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
          <w:sz w:val="28"/>
          <w:szCs w:val="28"/>
          <w:lang w:val="vi-VN"/>
        </w:rPr>
      </w:pPr>
      <w:r w:rsidRPr="00E24417">
        <w:rPr>
          <w:sz w:val="28"/>
          <w:szCs w:val="28"/>
          <w:lang w:val="vi-VN"/>
        </w:rPr>
        <w:t xml:space="preserve">Việc triển khai thi hành Luật này trên cơ sở nguồn lực, điều kiện bảo đảm hiện có của Bộ Công Thương và các cơ quan, đơn vị, tổ chức có liên quan, không phát sinh biên chế, tổ chức bộ máy. </w:t>
      </w:r>
      <w:r w:rsidRPr="00E24417">
        <w:rPr>
          <w:sz w:val="28"/>
          <w:szCs w:val="28"/>
          <w:shd w:val="clear" w:color="auto" w:fill="FFFFFF"/>
          <w:lang w:val="vi-VN"/>
        </w:rPr>
        <w:t>Kinh phí tổ chức tuyên truyền, phổ biến, tập huấn, tổ chức thi hành Luật sau khi được Quốc hội thông qua sẽ được sử dụng đúng mục đích, nội dung, chế độ, định mức chi theo quy định của pháp luật về quản lý, sử dụng ngân sách nhà nước.</w:t>
      </w:r>
      <w:r w:rsidRPr="00E24417">
        <w:rPr>
          <w:sz w:val="28"/>
          <w:szCs w:val="28"/>
          <w:lang w:val="vi-VN"/>
        </w:rPr>
        <w:t xml:space="preserve"> Do vậy, việc bảo đảm nguồn lực, điều kiện cho việc thi hành Luật là hoàn toàn khả thi.</w:t>
      </w:r>
    </w:p>
    <w:p w14:paraId="6172FA86" w14:textId="083D88D1" w:rsidR="004D4139" w:rsidRPr="00E24417" w:rsidRDefault="00F87A87"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
          <w:sz w:val="28"/>
          <w:szCs w:val="28"/>
          <w:lang w:val="vi-VN"/>
        </w:rPr>
      </w:pPr>
      <w:r w:rsidRPr="00E24417">
        <w:rPr>
          <w:b/>
          <w:sz w:val="28"/>
          <w:szCs w:val="28"/>
          <w:lang w:val="vi-VN"/>
        </w:rPr>
        <w:t>VIII. THỜI GIAN DỰ KIẾN TRÌNH QUỐC HỘI DỰ ÁN, DỰ THẢO VĂN BẢN (</w:t>
      </w:r>
      <w:r w:rsidR="001F10F9" w:rsidRPr="00E24417">
        <w:rPr>
          <w:b/>
          <w:sz w:val="28"/>
          <w:szCs w:val="28"/>
          <w:lang w:val="vi-VN"/>
        </w:rPr>
        <w:t>NẾU CÓ</w:t>
      </w:r>
      <w:r w:rsidRPr="00E24417">
        <w:rPr>
          <w:b/>
          <w:sz w:val="28"/>
          <w:szCs w:val="28"/>
          <w:lang w:val="vi-VN"/>
        </w:rPr>
        <w:t>)</w:t>
      </w:r>
    </w:p>
    <w:p w14:paraId="524A77A8" w14:textId="3744B225" w:rsidR="004D4C6C" w:rsidRPr="00E24417" w:rsidRDefault="007154C7"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b/>
          <w:sz w:val="28"/>
          <w:szCs w:val="28"/>
          <w:lang w:val="vi-VN"/>
        </w:rPr>
      </w:pPr>
      <w:r w:rsidRPr="00E24417">
        <w:rPr>
          <w:sz w:val="28"/>
          <w:szCs w:val="28"/>
          <w:lang w:val="vi-VN"/>
        </w:rPr>
        <w:t xml:space="preserve">Bộ Công Thương </w:t>
      </w:r>
      <w:r w:rsidRPr="00E24417">
        <w:rPr>
          <w:sz w:val="28"/>
          <w:szCs w:val="28"/>
          <w:shd w:val="clear" w:color="auto" w:fill="FFFFFF"/>
          <w:lang w:val="vi-VN"/>
        </w:rPr>
        <w:t>đề xuất Chính phủ đồng ý về việc trình Quốc hội khóa XVI cho ý kiến và thông qua dự án Luật này tại Kỳ họp thứ 2.</w:t>
      </w:r>
    </w:p>
    <w:p w14:paraId="1FD093E4" w14:textId="19997695" w:rsidR="00350387" w:rsidRPr="00E24417" w:rsidRDefault="00F87A87"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spacing w:val="-6"/>
          <w:sz w:val="28"/>
          <w:szCs w:val="28"/>
          <w:lang w:val="vi-VN"/>
        </w:rPr>
      </w:pPr>
      <w:r w:rsidRPr="00E24417">
        <w:rPr>
          <w:spacing w:val="-6"/>
          <w:sz w:val="28"/>
          <w:szCs w:val="28"/>
          <w:lang w:val="vi-VN"/>
        </w:rPr>
        <w:t>Trên đây là Tờ trình chính sách</w:t>
      </w:r>
      <w:r w:rsidR="00350387" w:rsidRPr="00E24417">
        <w:rPr>
          <w:spacing w:val="-6"/>
          <w:sz w:val="28"/>
          <w:szCs w:val="28"/>
          <w:lang w:val="vi-VN"/>
        </w:rPr>
        <w:t xml:space="preserve"> của Dự án Luật</w:t>
      </w:r>
      <w:r w:rsidRPr="00E24417">
        <w:rPr>
          <w:spacing w:val="-6"/>
          <w:sz w:val="28"/>
          <w:szCs w:val="28"/>
          <w:lang w:val="vi-VN"/>
        </w:rPr>
        <w:t>.</w:t>
      </w:r>
    </w:p>
    <w:p w14:paraId="21A1E8EA" w14:textId="02E82B44" w:rsidR="00F87A87" w:rsidRPr="001F10F9" w:rsidRDefault="00F87A87" w:rsidP="001F10F9">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line="264" w:lineRule="auto"/>
        <w:rPr>
          <w:lang w:val="vi-VN"/>
        </w:rPr>
      </w:pPr>
      <w:r w:rsidRPr="001F10F9">
        <w:rPr>
          <w:lang w:val="vi-VN"/>
        </w:rPr>
        <w:t>(</w:t>
      </w:r>
      <w:r w:rsidRPr="001F10F9">
        <w:rPr>
          <w:i/>
          <w:lang w:val="vi-VN"/>
        </w:rPr>
        <w:t>Xin gửi kèm theo</w:t>
      </w:r>
      <w:r w:rsidR="007154C7" w:rsidRPr="001F10F9">
        <w:rPr>
          <w:lang w:val="vi-VN"/>
        </w:rPr>
        <w:t xml:space="preserve">: </w:t>
      </w:r>
      <w:r w:rsidR="007154C7" w:rsidRPr="001F10F9">
        <w:rPr>
          <w:i/>
          <w:lang w:val="vi-VN"/>
        </w:rPr>
        <w:t>(1) Báo cáo đánh giá tác động của chính sách; (2) Báo cáo rà soát các chủ trương, đường lối của Đảng, văn bản quy phạm pháp luật, điều ước quốc tế có liên quan đến chính sách; (3) Báo cáo tổng kết việc thi hành pháp luật liên quan đến chính sách; (4) Bản thuyết minh quy phạm hóa chính sách; (5) Bản tổng hợp ý kiến, tiếp thu, giải trình ý kiến góp ý, tham vấn; (6) Báo cáo thẩm định của Bộ Tư pháp; báo cáo tiếp thu, giải trình ý kiến thẩm định của Bộ Tư pháp</w:t>
      </w:r>
      <w:r w:rsidRPr="001F10F9">
        <w:rPr>
          <w:lang w:val="vi-VN"/>
        </w:rPr>
        <w:t>).</w:t>
      </w:r>
      <w:r w:rsidR="003C5A2D" w:rsidRPr="001F10F9">
        <w:rPr>
          <w:lang w:val="vi-VN"/>
        </w:rPr>
        <w:t>/.</w:t>
      </w:r>
    </w:p>
    <w:p w14:paraId="05200AF5" w14:textId="77777777" w:rsidR="00DC22F0" w:rsidRPr="00E24417" w:rsidRDefault="00DC22F0" w:rsidP="007921E1">
      <w:pPr>
        <w:widowControl w:val="0"/>
        <w:pBdr>
          <w:top w:val="nil"/>
          <w:left w:val="nil"/>
          <w:bottom w:val="nil"/>
          <w:right w:val="nil"/>
          <w:between w:val="nil"/>
        </w:pBdr>
        <w:spacing w:before="120"/>
        <w:ind w:firstLine="567"/>
        <w:rPr>
          <w:sz w:val="28"/>
          <w:szCs w:val="28"/>
          <w:lang w:val="vi-VN"/>
        </w:rPr>
      </w:pPr>
    </w:p>
    <w:tbl>
      <w:tblPr>
        <w:tblW w:w="9322" w:type="dxa"/>
        <w:tblLayout w:type="fixed"/>
        <w:tblLook w:val="01E0" w:firstRow="1" w:lastRow="1" w:firstColumn="1" w:lastColumn="1" w:noHBand="0" w:noVBand="0"/>
      </w:tblPr>
      <w:tblGrid>
        <w:gridCol w:w="4786"/>
        <w:gridCol w:w="4536"/>
      </w:tblGrid>
      <w:tr w:rsidR="0022242E" w:rsidRPr="007921E1" w14:paraId="107A5598" w14:textId="77777777" w:rsidTr="0022242E">
        <w:trPr>
          <w:trHeight w:val="1666"/>
        </w:trPr>
        <w:tc>
          <w:tcPr>
            <w:tcW w:w="4786" w:type="dxa"/>
          </w:tcPr>
          <w:p w14:paraId="1C692A60" w14:textId="77777777" w:rsidR="0022242E" w:rsidRPr="00E24417" w:rsidRDefault="0022242E" w:rsidP="007921E1">
            <w:pPr>
              <w:widowControl w:val="0"/>
              <w:pBdr>
                <w:top w:val="nil"/>
                <w:left w:val="nil"/>
                <w:bottom w:val="nil"/>
                <w:right w:val="nil"/>
                <w:between w:val="nil"/>
              </w:pBdr>
              <w:spacing w:before="0"/>
              <w:ind w:firstLine="0"/>
              <w:jc w:val="left"/>
              <w:rPr>
                <w:sz w:val="22"/>
                <w:szCs w:val="22"/>
                <w:lang w:val="vi-VN"/>
              </w:rPr>
            </w:pPr>
            <w:r w:rsidRPr="00E24417">
              <w:rPr>
                <w:b/>
                <w:i/>
                <w:sz w:val="22"/>
                <w:szCs w:val="22"/>
                <w:lang w:val="vi-VN"/>
              </w:rPr>
              <w:t>Nơi nhận:</w:t>
            </w:r>
          </w:p>
          <w:p w14:paraId="098B5655" w14:textId="77777777" w:rsidR="0022242E" w:rsidRPr="00E24417" w:rsidRDefault="0022242E" w:rsidP="007921E1">
            <w:pPr>
              <w:widowControl w:val="0"/>
              <w:pBdr>
                <w:top w:val="nil"/>
                <w:left w:val="nil"/>
                <w:bottom w:val="nil"/>
                <w:right w:val="nil"/>
                <w:between w:val="nil"/>
              </w:pBdr>
              <w:spacing w:before="0"/>
              <w:ind w:firstLine="0"/>
              <w:jc w:val="left"/>
              <w:rPr>
                <w:sz w:val="24"/>
                <w:szCs w:val="24"/>
                <w:lang w:val="vi-VN"/>
              </w:rPr>
            </w:pPr>
            <w:r w:rsidRPr="00E24417">
              <w:rPr>
                <w:sz w:val="24"/>
                <w:szCs w:val="24"/>
                <w:lang w:val="vi-VN"/>
              </w:rPr>
              <w:t>- Như trên;</w:t>
            </w:r>
          </w:p>
          <w:p w14:paraId="75C984F0" w14:textId="5A73740E" w:rsidR="0022242E" w:rsidRPr="00E24417" w:rsidRDefault="0022242E" w:rsidP="007921E1">
            <w:pPr>
              <w:widowControl w:val="0"/>
              <w:pBdr>
                <w:top w:val="nil"/>
                <w:left w:val="nil"/>
                <w:bottom w:val="nil"/>
                <w:right w:val="nil"/>
                <w:between w:val="nil"/>
              </w:pBdr>
              <w:spacing w:before="0"/>
              <w:ind w:firstLine="0"/>
              <w:jc w:val="left"/>
              <w:rPr>
                <w:sz w:val="24"/>
                <w:szCs w:val="24"/>
                <w:lang w:val="vi-VN"/>
              </w:rPr>
            </w:pPr>
            <w:r w:rsidRPr="00E24417">
              <w:rPr>
                <w:sz w:val="24"/>
                <w:szCs w:val="24"/>
                <w:lang w:val="vi-VN"/>
              </w:rPr>
              <w:t xml:space="preserve">- </w:t>
            </w:r>
            <w:r w:rsidR="00F66D3E" w:rsidRPr="00E24417">
              <w:rPr>
                <w:sz w:val="24"/>
                <w:szCs w:val="24"/>
                <w:lang w:val="vi-VN"/>
              </w:rPr>
              <w:t>Văn phòng Chính phủ</w:t>
            </w:r>
            <w:r w:rsidR="003C5A2D" w:rsidRPr="00E24417">
              <w:rPr>
                <w:sz w:val="24"/>
                <w:szCs w:val="24"/>
                <w:lang w:val="vi-VN"/>
              </w:rPr>
              <w:t xml:space="preserve"> (để p/h)</w:t>
            </w:r>
            <w:r w:rsidR="00F66D3E" w:rsidRPr="00E24417">
              <w:rPr>
                <w:sz w:val="24"/>
                <w:szCs w:val="24"/>
                <w:lang w:val="vi-VN"/>
              </w:rPr>
              <w:t>;</w:t>
            </w:r>
          </w:p>
          <w:p w14:paraId="2B50A15F" w14:textId="6F3D9ACD" w:rsidR="003C5A2D" w:rsidRPr="00E24417" w:rsidRDefault="003C5A2D" w:rsidP="007921E1">
            <w:pPr>
              <w:widowControl w:val="0"/>
              <w:spacing w:before="0"/>
              <w:ind w:firstLine="0"/>
              <w:rPr>
                <w:sz w:val="24"/>
                <w:szCs w:val="24"/>
                <w:lang w:val="zu-ZA"/>
              </w:rPr>
            </w:pPr>
            <w:r w:rsidRPr="00E24417">
              <w:rPr>
                <w:sz w:val="24"/>
                <w:szCs w:val="24"/>
                <w:lang w:val="zu-ZA"/>
              </w:rPr>
              <w:t>- Thủ tướng Chính phủ (để b/c);</w:t>
            </w:r>
          </w:p>
          <w:p w14:paraId="3D3FDF70" w14:textId="7EE59111" w:rsidR="003C5A2D" w:rsidRPr="001F10F9" w:rsidRDefault="003C5A2D" w:rsidP="007921E1">
            <w:pPr>
              <w:widowControl w:val="0"/>
              <w:spacing w:before="0"/>
              <w:ind w:firstLine="0"/>
              <w:rPr>
                <w:sz w:val="24"/>
                <w:szCs w:val="24"/>
                <w:lang w:val="zu-ZA"/>
              </w:rPr>
            </w:pPr>
            <w:r w:rsidRPr="00E24417">
              <w:rPr>
                <w:sz w:val="24"/>
                <w:szCs w:val="24"/>
                <w:lang w:val="zu-ZA"/>
              </w:rPr>
              <w:t xml:space="preserve">- Các </w:t>
            </w:r>
            <w:r w:rsidRPr="001F10F9">
              <w:rPr>
                <w:sz w:val="24"/>
                <w:szCs w:val="24"/>
                <w:lang w:val="zu-ZA"/>
              </w:rPr>
              <w:t>Phó Thủ tướng Chính phủ (để b/c);</w:t>
            </w:r>
          </w:p>
          <w:p w14:paraId="4BCA877C" w14:textId="0DB736CC" w:rsidR="006265AB" w:rsidRPr="001F10F9" w:rsidRDefault="0022242E" w:rsidP="007921E1">
            <w:pPr>
              <w:widowControl w:val="0"/>
              <w:pBdr>
                <w:top w:val="nil"/>
                <w:left w:val="nil"/>
                <w:bottom w:val="nil"/>
                <w:right w:val="nil"/>
                <w:between w:val="nil"/>
              </w:pBdr>
              <w:spacing w:before="0"/>
              <w:ind w:firstLine="0"/>
              <w:jc w:val="left"/>
              <w:rPr>
                <w:sz w:val="24"/>
                <w:szCs w:val="24"/>
              </w:rPr>
            </w:pPr>
            <w:r w:rsidRPr="001F10F9">
              <w:rPr>
                <w:sz w:val="24"/>
                <w:szCs w:val="24"/>
                <w:lang w:val="zu-ZA"/>
              </w:rPr>
              <w:t xml:space="preserve">- </w:t>
            </w:r>
            <w:r w:rsidR="005F320E" w:rsidRPr="001F10F9">
              <w:rPr>
                <w:sz w:val="24"/>
                <w:szCs w:val="24"/>
                <w:lang w:val="zu-ZA"/>
              </w:rPr>
              <w:t>Các Bộ, cơ quan ngang Bộ;</w:t>
            </w:r>
          </w:p>
          <w:p w14:paraId="1B656284" w14:textId="3E19290F" w:rsidR="00DB065F" w:rsidRPr="001F10F9" w:rsidRDefault="00DB065F" w:rsidP="007921E1">
            <w:pPr>
              <w:widowControl w:val="0"/>
              <w:pBdr>
                <w:top w:val="nil"/>
                <w:left w:val="nil"/>
                <w:bottom w:val="nil"/>
                <w:right w:val="nil"/>
                <w:between w:val="nil"/>
              </w:pBdr>
              <w:spacing w:before="0"/>
              <w:ind w:firstLine="0"/>
              <w:jc w:val="left"/>
              <w:rPr>
                <w:sz w:val="24"/>
                <w:szCs w:val="24"/>
              </w:rPr>
            </w:pPr>
            <w:r w:rsidRPr="001F10F9">
              <w:rPr>
                <w:sz w:val="24"/>
                <w:szCs w:val="24"/>
              </w:rPr>
              <w:t xml:space="preserve">- </w:t>
            </w:r>
            <w:r w:rsidR="005F320E" w:rsidRPr="001F10F9">
              <w:rPr>
                <w:sz w:val="24"/>
                <w:szCs w:val="24"/>
              </w:rPr>
              <w:t xml:space="preserve">Các </w:t>
            </w:r>
            <w:r w:rsidRPr="001F10F9">
              <w:rPr>
                <w:sz w:val="24"/>
                <w:szCs w:val="24"/>
              </w:rPr>
              <w:t>Th</w:t>
            </w:r>
            <w:r w:rsidR="00317946" w:rsidRPr="001F10F9">
              <w:rPr>
                <w:sz w:val="24"/>
                <w:szCs w:val="24"/>
              </w:rPr>
              <w:t>ứ trưởng</w:t>
            </w:r>
            <w:r w:rsidR="005F320E" w:rsidRPr="001F10F9">
              <w:rPr>
                <w:sz w:val="24"/>
                <w:szCs w:val="24"/>
              </w:rPr>
              <w:t xml:space="preserve"> </w:t>
            </w:r>
            <w:r w:rsidRPr="001F10F9">
              <w:rPr>
                <w:sz w:val="24"/>
                <w:szCs w:val="24"/>
              </w:rPr>
              <w:t>(để biết);</w:t>
            </w:r>
          </w:p>
          <w:p w14:paraId="29753FB2" w14:textId="228A9C41" w:rsidR="00DB065F" w:rsidRPr="001F10F9" w:rsidRDefault="004D6B39" w:rsidP="007921E1">
            <w:pPr>
              <w:widowControl w:val="0"/>
              <w:pBdr>
                <w:top w:val="nil"/>
                <w:left w:val="nil"/>
                <w:bottom w:val="nil"/>
                <w:right w:val="nil"/>
                <w:between w:val="nil"/>
              </w:pBdr>
              <w:spacing w:before="0"/>
              <w:ind w:firstLine="0"/>
              <w:jc w:val="left"/>
              <w:rPr>
                <w:sz w:val="24"/>
                <w:szCs w:val="24"/>
              </w:rPr>
            </w:pPr>
            <w:r w:rsidRPr="001F10F9">
              <w:rPr>
                <w:sz w:val="24"/>
                <w:szCs w:val="24"/>
              </w:rPr>
              <w:t>-</w:t>
            </w:r>
            <w:r w:rsidR="00F87A87" w:rsidRPr="001F10F9">
              <w:rPr>
                <w:sz w:val="24"/>
                <w:szCs w:val="24"/>
              </w:rPr>
              <w:t xml:space="preserve"> </w:t>
            </w:r>
            <w:r w:rsidR="00A864F3" w:rsidRPr="001F10F9">
              <w:rPr>
                <w:sz w:val="24"/>
                <w:szCs w:val="24"/>
              </w:rPr>
              <w:t>Vụ PC (MOIT</w:t>
            </w:r>
            <w:r w:rsidR="00DB065F" w:rsidRPr="001F10F9">
              <w:rPr>
                <w:sz w:val="24"/>
                <w:szCs w:val="24"/>
              </w:rPr>
              <w:t>);</w:t>
            </w:r>
          </w:p>
          <w:p w14:paraId="17DB3DE3" w14:textId="653F0E9F" w:rsidR="0022242E" w:rsidRPr="00E24417" w:rsidRDefault="0022242E" w:rsidP="007921E1">
            <w:pPr>
              <w:widowControl w:val="0"/>
              <w:spacing w:before="0"/>
              <w:ind w:firstLine="0"/>
              <w:jc w:val="left"/>
              <w:rPr>
                <w:sz w:val="28"/>
                <w:szCs w:val="28"/>
              </w:rPr>
            </w:pPr>
            <w:r w:rsidRPr="001F10F9">
              <w:rPr>
                <w:sz w:val="24"/>
                <w:szCs w:val="24"/>
              </w:rPr>
              <w:t xml:space="preserve">- Lưu: </w:t>
            </w:r>
            <w:r w:rsidR="0082526F" w:rsidRPr="001F10F9">
              <w:rPr>
                <w:sz w:val="24"/>
                <w:szCs w:val="24"/>
              </w:rPr>
              <w:t xml:space="preserve">VT, </w:t>
            </w:r>
            <w:r w:rsidR="009A3B48" w:rsidRPr="001F10F9">
              <w:rPr>
                <w:sz w:val="24"/>
                <w:szCs w:val="24"/>
              </w:rPr>
              <w:t>TTTN</w:t>
            </w:r>
            <w:r w:rsidR="0082526F" w:rsidRPr="001F10F9">
              <w:rPr>
                <w:sz w:val="24"/>
                <w:szCs w:val="24"/>
              </w:rPr>
              <w:t xml:space="preserve"> (</w:t>
            </w:r>
            <w:r w:rsidR="0082526F" w:rsidRPr="00E24417">
              <w:rPr>
                <w:sz w:val="24"/>
                <w:szCs w:val="24"/>
              </w:rPr>
              <w:t>02)</w:t>
            </w:r>
            <w:r w:rsidRPr="00E24417">
              <w:rPr>
                <w:sz w:val="24"/>
                <w:szCs w:val="24"/>
              </w:rPr>
              <w:t>.</w:t>
            </w:r>
          </w:p>
        </w:tc>
        <w:tc>
          <w:tcPr>
            <w:tcW w:w="4536" w:type="dxa"/>
          </w:tcPr>
          <w:p w14:paraId="51CC7E97" w14:textId="76DFDFB4" w:rsidR="0022242E" w:rsidRPr="00E24417" w:rsidRDefault="008A1A98" w:rsidP="007921E1">
            <w:pPr>
              <w:widowControl w:val="0"/>
              <w:spacing w:before="0"/>
              <w:ind w:firstLine="0"/>
              <w:jc w:val="center"/>
              <w:rPr>
                <w:b/>
                <w:spacing w:val="-6"/>
                <w:sz w:val="28"/>
                <w:szCs w:val="28"/>
              </w:rPr>
            </w:pPr>
            <w:r w:rsidRPr="00E24417">
              <w:rPr>
                <w:b/>
                <w:spacing w:val="-6"/>
                <w:sz w:val="28"/>
                <w:szCs w:val="28"/>
              </w:rPr>
              <w:t xml:space="preserve">Q. </w:t>
            </w:r>
            <w:r w:rsidR="0022242E" w:rsidRPr="00E24417">
              <w:rPr>
                <w:b/>
                <w:spacing w:val="-6"/>
                <w:sz w:val="28"/>
                <w:szCs w:val="28"/>
              </w:rPr>
              <w:t xml:space="preserve">BỘ TRƯỞNG </w:t>
            </w:r>
          </w:p>
          <w:p w14:paraId="2D2150E1" w14:textId="77777777" w:rsidR="0022242E" w:rsidRPr="00E24417" w:rsidRDefault="0022242E" w:rsidP="007921E1">
            <w:pPr>
              <w:widowControl w:val="0"/>
              <w:autoSpaceDE w:val="0"/>
              <w:autoSpaceDN w:val="0"/>
              <w:adjustRightInd w:val="0"/>
              <w:spacing w:before="0"/>
              <w:ind w:firstLine="0"/>
              <w:jc w:val="center"/>
              <w:textAlignment w:val="center"/>
              <w:rPr>
                <w:b/>
                <w:sz w:val="28"/>
                <w:szCs w:val="28"/>
              </w:rPr>
            </w:pPr>
          </w:p>
          <w:p w14:paraId="1BEB1B04" w14:textId="30C2142E" w:rsidR="0022242E" w:rsidRPr="00E24417" w:rsidRDefault="0022242E" w:rsidP="007921E1">
            <w:pPr>
              <w:widowControl w:val="0"/>
              <w:autoSpaceDE w:val="0"/>
              <w:autoSpaceDN w:val="0"/>
              <w:adjustRightInd w:val="0"/>
              <w:spacing w:before="0"/>
              <w:ind w:firstLine="0"/>
              <w:jc w:val="center"/>
              <w:textAlignment w:val="center"/>
              <w:rPr>
                <w:b/>
                <w:sz w:val="28"/>
                <w:szCs w:val="28"/>
              </w:rPr>
            </w:pPr>
          </w:p>
          <w:p w14:paraId="3C5B5608" w14:textId="38DFCB73" w:rsidR="00502125" w:rsidRPr="00E24417" w:rsidRDefault="00502125" w:rsidP="007921E1">
            <w:pPr>
              <w:widowControl w:val="0"/>
              <w:autoSpaceDE w:val="0"/>
              <w:autoSpaceDN w:val="0"/>
              <w:adjustRightInd w:val="0"/>
              <w:spacing w:before="0"/>
              <w:ind w:firstLine="0"/>
              <w:jc w:val="center"/>
              <w:textAlignment w:val="center"/>
              <w:rPr>
                <w:b/>
                <w:sz w:val="28"/>
                <w:szCs w:val="28"/>
              </w:rPr>
            </w:pPr>
          </w:p>
          <w:p w14:paraId="7C8CDC41" w14:textId="11D553A3" w:rsidR="00434AEF" w:rsidRPr="00E24417" w:rsidRDefault="00434AEF" w:rsidP="007921E1">
            <w:pPr>
              <w:widowControl w:val="0"/>
              <w:autoSpaceDE w:val="0"/>
              <w:autoSpaceDN w:val="0"/>
              <w:adjustRightInd w:val="0"/>
              <w:spacing w:before="0"/>
              <w:ind w:firstLine="0"/>
              <w:jc w:val="center"/>
              <w:textAlignment w:val="center"/>
              <w:rPr>
                <w:b/>
                <w:sz w:val="28"/>
                <w:szCs w:val="28"/>
              </w:rPr>
            </w:pPr>
          </w:p>
          <w:p w14:paraId="13AE73FD" w14:textId="77777777" w:rsidR="00434AEF" w:rsidRPr="00E24417" w:rsidRDefault="00434AEF" w:rsidP="007921E1">
            <w:pPr>
              <w:widowControl w:val="0"/>
              <w:autoSpaceDE w:val="0"/>
              <w:autoSpaceDN w:val="0"/>
              <w:adjustRightInd w:val="0"/>
              <w:spacing w:before="0"/>
              <w:ind w:firstLine="0"/>
              <w:textAlignment w:val="center"/>
              <w:rPr>
                <w:b/>
                <w:sz w:val="28"/>
                <w:szCs w:val="28"/>
              </w:rPr>
            </w:pPr>
          </w:p>
          <w:p w14:paraId="1824D837" w14:textId="77777777" w:rsidR="00502125" w:rsidRPr="00E24417" w:rsidRDefault="00502125" w:rsidP="007921E1">
            <w:pPr>
              <w:widowControl w:val="0"/>
              <w:autoSpaceDE w:val="0"/>
              <w:autoSpaceDN w:val="0"/>
              <w:adjustRightInd w:val="0"/>
              <w:spacing w:before="0"/>
              <w:ind w:firstLine="0"/>
              <w:jc w:val="center"/>
              <w:textAlignment w:val="center"/>
              <w:rPr>
                <w:b/>
                <w:bCs/>
                <w:sz w:val="28"/>
                <w:szCs w:val="28"/>
              </w:rPr>
            </w:pPr>
          </w:p>
          <w:p w14:paraId="25783AF3" w14:textId="0AEC74EE" w:rsidR="0022242E" w:rsidRPr="007921E1" w:rsidRDefault="008A1A98" w:rsidP="007921E1">
            <w:pPr>
              <w:widowControl w:val="0"/>
              <w:spacing w:before="0"/>
              <w:ind w:firstLine="0"/>
              <w:jc w:val="center"/>
              <w:rPr>
                <w:b/>
                <w:sz w:val="28"/>
                <w:szCs w:val="28"/>
              </w:rPr>
            </w:pPr>
            <w:r w:rsidRPr="00E24417">
              <w:rPr>
                <w:b/>
                <w:sz w:val="28"/>
                <w:szCs w:val="28"/>
              </w:rPr>
              <w:t>Lê Mạnh Hùng</w:t>
            </w:r>
          </w:p>
        </w:tc>
      </w:tr>
    </w:tbl>
    <w:p w14:paraId="40326F7A" w14:textId="77777777" w:rsidR="00944AFE" w:rsidRPr="007921E1" w:rsidRDefault="00944AFE" w:rsidP="007921E1">
      <w:pPr>
        <w:widowControl w:val="0"/>
        <w:pBdr>
          <w:top w:val="nil"/>
          <w:left w:val="nil"/>
          <w:bottom w:val="nil"/>
          <w:right w:val="nil"/>
          <w:between w:val="nil"/>
        </w:pBdr>
        <w:spacing w:before="120"/>
        <w:rPr>
          <w:sz w:val="28"/>
          <w:szCs w:val="28"/>
        </w:rPr>
      </w:pPr>
    </w:p>
    <w:p w14:paraId="69EB6B31" w14:textId="77777777" w:rsidR="00944AFE" w:rsidRPr="007921E1" w:rsidRDefault="00944AFE" w:rsidP="007921E1">
      <w:pPr>
        <w:widowControl w:val="0"/>
        <w:pBdr>
          <w:top w:val="nil"/>
          <w:left w:val="nil"/>
          <w:bottom w:val="nil"/>
          <w:right w:val="nil"/>
          <w:between w:val="nil"/>
        </w:pBdr>
        <w:spacing w:before="120"/>
        <w:ind w:firstLine="0"/>
        <w:rPr>
          <w:sz w:val="28"/>
          <w:szCs w:val="28"/>
        </w:rPr>
      </w:pPr>
    </w:p>
    <w:sectPr w:rsidR="00944AFE" w:rsidRPr="007921E1" w:rsidSect="00D513A4">
      <w:headerReference w:type="default" r:id="rId9"/>
      <w:headerReference w:type="first" r:id="rId10"/>
      <w:pgSz w:w="11907" w:h="16840" w:code="9"/>
      <w:pgMar w:top="1134" w:right="1134" w:bottom="1134" w:left="1701" w:header="567" w:footer="28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718CE" w14:textId="77777777" w:rsidR="00471238" w:rsidRDefault="00471238">
      <w:pPr>
        <w:spacing w:before="0"/>
      </w:pPr>
      <w:r>
        <w:separator/>
      </w:r>
    </w:p>
  </w:endnote>
  <w:endnote w:type="continuationSeparator" w:id="0">
    <w:p w14:paraId="55976FBE" w14:textId="77777777" w:rsidR="00471238" w:rsidRDefault="0047123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1313" w14:textId="77777777" w:rsidR="00471238" w:rsidRDefault="00471238">
      <w:pPr>
        <w:spacing w:before="0"/>
      </w:pPr>
      <w:r>
        <w:separator/>
      </w:r>
    </w:p>
  </w:footnote>
  <w:footnote w:type="continuationSeparator" w:id="0">
    <w:p w14:paraId="3AD4C08B" w14:textId="77777777" w:rsidR="00471238" w:rsidRDefault="0047123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C919A" w14:textId="3E2BFFF7" w:rsidR="00817E92" w:rsidRPr="0022242E" w:rsidRDefault="00817E92" w:rsidP="0022242E">
    <w:pPr>
      <w:pBdr>
        <w:top w:val="nil"/>
        <w:left w:val="nil"/>
        <w:bottom w:val="nil"/>
        <w:right w:val="nil"/>
        <w:between w:val="nil"/>
      </w:pBdr>
      <w:ind w:firstLine="0"/>
      <w:jc w:val="center"/>
      <w:rPr>
        <w:color w:val="000000"/>
      </w:rPr>
    </w:pPr>
    <w:r w:rsidRPr="0022242E">
      <w:rPr>
        <w:color w:val="000000"/>
      </w:rPr>
      <w:fldChar w:fldCharType="begin"/>
    </w:r>
    <w:r w:rsidRPr="0022242E">
      <w:rPr>
        <w:color w:val="000000"/>
      </w:rPr>
      <w:instrText>PAGE</w:instrText>
    </w:r>
    <w:r w:rsidRPr="0022242E">
      <w:rPr>
        <w:color w:val="000000"/>
      </w:rPr>
      <w:fldChar w:fldCharType="separate"/>
    </w:r>
    <w:r w:rsidR="00C703F5">
      <w:rPr>
        <w:noProof/>
        <w:color w:val="000000"/>
      </w:rPr>
      <w:t>24</w:t>
    </w:r>
    <w:r w:rsidRPr="0022242E">
      <w:rPr>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1D733" w14:textId="77777777" w:rsidR="00817E92" w:rsidRDefault="00817E92">
    <w:pPr>
      <w:pBdr>
        <w:top w:val="nil"/>
        <w:left w:val="nil"/>
        <w:bottom w:val="nil"/>
        <w:right w:val="nil"/>
        <w:between w:val="nil"/>
      </w:pBdr>
      <w:tabs>
        <w:tab w:val="center" w:pos="4680"/>
        <w:tab w:val="right" w:pos="9360"/>
      </w:tabs>
      <w:spacing w:before="0"/>
      <w:jc w:val="right"/>
      <w:rPr>
        <w: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B1BDF"/>
    <w:multiLevelType w:val="hybridMultilevel"/>
    <w:tmpl w:val="2488F396"/>
    <w:lvl w:ilvl="0" w:tplc="4244B1F0">
      <w:start w:val="1"/>
      <w:numFmt w:val="bullet"/>
      <w:suff w:val="space"/>
      <w:lvlText w:val="-"/>
      <w:lvlJc w:val="left"/>
      <w:pPr>
        <w:ind w:left="0" w:firstLine="567"/>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251305C"/>
    <w:multiLevelType w:val="hybridMultilevel"/>
    <w:tmpl w:val="21508402"/>
    <w:lvl w:ilvl="0" w:tplc="AE243A40">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0C5150"/>
    <w:multiLevelType w:val="hybridMultilevel"/>
    <w:tmpl w:val="0B4A7E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2C72A19"/>
    <w:multiLevelType w:val="hybridMultilevel"/>
    <w:tmpl w:val="5E96366A"/>
    <w:lvl w:ilvl="0" w:tplc="FAB490B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97E5542"/>
    <w:multiLevelType w:val="hybridMultilevel"/>
    <w:tmpl w:val="16F413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A830395"/>
    <w:multiLevelType w:val="hybridMultilevel"/>
    <w:tmpl w:val="D18204CA"/>
    <w:lvl w:ilvl="0" w:tplc="0A7C85C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E157446"/>
    <w:multiLevelType w:val="hybridMultilevel"/>
    <w:tmpl w:val="42B216CC"/>
    <w:lvl w:ilvl="0" w:tplc="017AF99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BB10C99"/>
    <w:multiLevelType w:val="hybridMultilevel"/>
    <w:tmpl w:val="CCF20472"/>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1F86F69"/>
    <w:multiLevelType w:val="hybridMultilevel"/>
    <w:tmpl w:val="951E26DC"/>
    <w:lvl w:ilvl="0" w:tplc="66F8AF46">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72917EA"/>
    <w:multiLevelType w:val="hybridMultilevel"/>
    <w:tmpl w:val="E684F81C"/>
    <w:lvl w:ilvl="0" w:tplc="D10665D4">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5CF97F51"/>
    <w:multiLevelType w:val="hybridMultilevel"/>
    <w:tmpl w:val="34AABA46"/>
    <w:lvl w:ilvl="0" w:tplc="A09AE5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0A3A91"/>
    <w:multiLevelType w:val="hybridMultilevel"/>
    <w:tmpl w:val="31B438A4"/>
    <w:lvl w:ilvl="0" w:tplc="C2327E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469788104">
    <w:abstractNumId w:val="8"/>
  </w:num>
  <w:num w:numId="2" w16cid:durableId="1871184472">
    <w:abstractNumId w:val="1"/>
  </w:num>
  <w:num w:numId="3" w16cid:durableId="185406438">
    <w:abstractNumId w:val="10"/>
  </w:num>
  <w:num w:numId="4" w16cid:durableId="1345086560">
    <w:abstractNumId w:val="0"/>
  </w:num>
  <w:num w:numId="5" w16cid:durableId="348482550">
    <w:abstractNumId w:val="6"/>
  </w:num>
  <w:num w:numId="6" w16cid:durableId="1723019651">
    <w:abstractNumId w:val="11"/>
  </w:num>
  <w:num w:numId="7" w16cid:durableId="2118452288">
    <w:abstractNumId w:val="5"/>
  </w:num>
  <w:num w:numId="8" w16cid:durableId="97915335">
    <w:abstractNumId w:val="7"/>
  </w:num>
  <w:num w:numId="9" w16cid:durableId="1646541758">
    <w:abstractNumId w:val="4"/>
  </w:num>
  <w:num w:numId="10" w16cid:durableId="519468939">
    <w:abstractNumId w:val="2"/>
  </w:num>
  <w:num w:numId="11" w16cid:durableId="1830321619">
    <w:abstractNumId w:val="9"/>
  </w:num>
  <w:num w:numId="12" w16cid:durableId="14461499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AFE"/>
    <w:rsid w:val="00000DB2"/>
    <w:rsid w:val="0000115E"/>
    <w:rsid w:val="00004670"/>
    <w:rsid w:val="00004A8B"/>
    <w:rsid w:val="00005277"/>
    <w:rsid w:val="00007BC7"/>
    <w:rsid w:val="00012023"/>
    <w:rsid w:val="000153DC"/>
    <w:rsid w:val="00016189"/>
    <w:rsid w:val="00034563"/>
    <w:rsid w:val="000360A8"/>
    <w:rsid w:val="00037FA4"/>
    <w:rsid w:val="000407B0"/>
    <w:rsid w:val="00042FD4"/>
    <w:rsid w:val="00045A6A"/>
    <w:rsid w:val="000507EA"/>
    <w:rsid w:val="00051EAC"/>
    <w:rsid w:val="00052653"/>
    <w:rsid w:val="000539E0"/>
    <w:rsid w:val="00054B39"/>
    <w:rsid w:val="00054CD9"/>
    <w:rsid w:val="000570CC"/>
    <w:rsid w:val="00063847"/>
    <w:rsid w:val="0006551C"/>
    <w:rsid w:val="000678E2"/>
    <w:rsid w:val="000818C2"/>
    <w:rsid w:val="0008366D"/>
    <w:rsid w:val="000924AC"/>
    <w:rsid w:val="0009279D"/>
    <w:rsid w:val="00094D56"/>
    <w:rsid w:val="000B2F15"/>
    <w:rsid w:val="000B370D"/>
    <w:rsid w:val="000B38AC"/>
    <w:rsid w:val="000B3C87"/>
    <w:rsid w:val="000C39E3"/>
    <w:rsid w:val="000C3B2E"/>
    <w:rsid w:val="000C43E5"/>
    <w:rsid w:val="000D385A"/>
    <w:rsid w:val="000D5C2D"/>
    <w:rsid w:val="000D6863"/>
    <w:rsid w:val="000D7D5E"/>
    <w:rsid w:val="000E1C99"/>
    <w:rsid w:val="000E2235"/>
    <w:rsid w:val="000F06C3"/>
    <w:rsid w:val="000F0C50"/>
    <w:rsid w:val="000F3B77"/>
    <w:rsid w:val="000F3F07"/>
    <w:rsid w:val="000F757B"/>
    <w:rsid w:val="0010533A"/>
    <w:rsid w:val="001070BF"/>
    <w:rsid w:val="0011058B"/>
    <w:rsid w:val="00111A84"/>
    <w:rsid w:val="0011470E"/>
    <w:rsid w:val="001162B2"/>
    <w:rsid w:val="00117F8E"/>
    <w:rsid w:val="00122D1D"/>
    <w:rsid w:val="0012339C"/>
    <w:rsid w:val="001269B0"/>
    <w:rsid w:val="00142B6A"/>
    <w:rsid w:val="00143DB3"/>
    <w:rsid w:val="00143EB5"/>
    <w:rsid w:val="00153D36"/>
    <w:rsid w:val="00156AA6"/>
    <w:rsid w:val="00160DC1"/>
    <w:rsid w:val="0016375D"/>
    <w:rsid w:val="00163BA9"/>
    <w:rsid w:val="001659D2"/>
    <w:rsid w:val="00171F2C"/>
    <w:rsid w:val="00177B0D"/>
    <w:rsid w:val="0018031D"/>
    <w:rsid w:val="00185284"/>
    <w:rsid w:val="001918BD"/>
    <w:rsid w:val="00196A41"/>
    <w:rsid w:val="001A42DC"/>
    <w:rsid w:val="001C45D5"/>
    <w:rsid w:val="001F10F9"/>
    <w:rsid w:val="001F16BE"/>
    <w:rsid w:val="001F249D"/>
    <w:rsid w:val="00201914"/>
    <w:rsid w:val="00204780"/>
    <w:rsid w:val="00213012"/>
    <w:rsid w:val="0022242E"/>
    <w:rsid w:val="0022526B"/>
    <w:rsid w:val="002333D2"/>
    <w:rsid w:val="0025273B"/>
    <w:rsid w:val="00257835"/>
    <w:rsid w:val="002662D9"/>
    <w:rsid w:val="00266FF7"/>
    <w:rsid w:val="0026740A"/>
    <w:rsid w:val="00277E69"/>
    <w:rsid w:val="002955AB"/>
    <w:rsid w:val="00296121"/>
    <w:rsid w:val="002A182D"/>
    <w:rsid w:val="002A1B59"/>
    <w:rsid w:val="002A322B"/>
    <w:rsid w:val="002A6B8B"/>
    <w:rsid w:val="002B31D6"/>
    <w:rsid w:val="002B4E6F"/>
    <w:rsid w:val="002B68E0"/>
    <w:rsid w:val="002C30F6"/>
    <w:rsid w:val="002C41E1"/>
    <w:rsid w:val="002D0DDE"/>
    <w:rsid w:val="002D24D1"/>
    <w:rsid w:val="002D3B66"/>
    <w:rsid w:val="002D6404"/>
    <w:rsid w:val="002E0C27"/>
    <w:rsid w:val="002E2C47"/>
    <w:rsid w:val="002E593F"/>
    <w:rsid w:val="002F0B29"/>
    <w:rsid w:val="002F38F0"/>
    <w:rsid w:val="002F57C8"/>
    <w:rsid w:val="00300994"/>
    <w:rsid w:val="0030361E"/>
    <w:rsid w:val="003043E9"/>
    <w:rsid w:val="00316546"/>
    <w:rsid w:val="00317946"/>
    <w:rsid w:val="0033141A"/>
    <w:rsid w:val="003334D6"/>
    <w:rsid w:val="00344006"/>
    <w:rsid w:val="00350387"/>
    <w:rsid w:val="003537F9"/>
    <w:rsid w:val="003543DD"/>
    <w:rsid w:val="00355DEC"/>
    <w:rsid w:val="003642DA"/>
    <w:rsid w:val="003658FF"/>
    <w:rsid w:val="00370055"/>
    <w:rsid w:val="00383DAA"/>
    <w:rsid w:val="00383E10"/>
    <w:rsid w:val="003840D6"/>
    <w:rsid w:val="00390124"/>
    <w:rsid w:val="00396A48"/>
    <w:rsid w:val="003A002A"/>
    <w:rsid w:val="003A359E"/>
    <w:rsid w:val="003A4E00"/>
    <w:rsid w:val="003A631E"/>
    <w:rsid w:val="003A71F0"/>
    <w:rsid w:val="003B5437"/>
    <w:rsid w:val="003C2FED"/>
    <w:rsid w:val="003C5A2D"/>
    <w:rsid w:val="003E4219"/>
    <w:rsid w:val="003E4578"/>
    <w:rsid w:val="003E6341"/>
    <w:rsid w:val="003F00EB"/>
    <w:rsid w:val="004016E9"/>
    <w:rsid w:val="0041099A"/>
    <w:rsid w:val="00413B35"/>
    <w:rsid w:val="00416F58"/>
    <w:rsid w:val="004311F0"/>
    <w:rsid w:val="00431895"/>
    <w:rsid w:val="00434AEF"/>
    <w:rsid w:val="00434F15"/>
    <w:rsid w:val="0044086B"/>
    <w:rsid w:val="00450CB2"/>
    <w:rsid w:val="004513BC"/>
    <w:rsid w:val="004538BB"/>
    <w:rsid w:val="00454B7B"/>
    <w:rsid w:val="00464CF9"/>
    <w:rsid w:val="00467B2D"/>
    <w:rsid w:val="00471238"/>
    <w:rsid w:val="00473A92"/>
    <w:rsid w:val="00481B5D"/>
    <w:rsid w:val="00487F28"/>
    <w:rsid w:val="00491B94"/>
    <w:rsid w:val="00493B54"/>
    <w:rsid w:val="004A3985"/>
    <w:rsid w:val="004A782E"/>
    <w:rsid w:val="004B1AA1"/>
    <w:rsid w:val="004C5CD8"/>
    <w:rsid w:val="004C5DA0"/>
    <w:rsid w:val="004D379F"/>
    <w:rsid w:val="004D4139"/>
    <w:rsid w:val="004D4C6C"/>
    <w:rsid w:val="004D6B39"/>
    <w:rsid w:val="004D6D1B"/>
    <w:rsid w:val="004E4174"/>
    <w:rsid w:val="004E5DBD"/>
    <w:rsid w:val="004E6739"/>
    <w:rsid w:val="004F59A3"/>
    <w:rsid w:val="00500870"/>
    <w:rsid w:val="005019B4"/>
    <w:rsid w:val="00502125"/>
    <w:rsid w:val="00515F50"/>
    <w:rsid w:val="00525655"/>
    <w:rsid w:val="00527768"/>
    <w:rsid w:val="00531E4D"/>
    <w:rsid w:val="00536B76"/>
    <w:rsid w:val="00543456"/>
    <w:rsid w:val="00545CA0"/>
    <w:rsid w:val="00547DA2"/>
    <w:rsid w:val="005505A8"/>
    <w:rsid w:val="00550856"/>
    <w:rsid w:val="00561E91"/>
    <w:rsid w:val="00564E8C"/>
    <w:rsid w:val="00565726"/>
    <w:rsid w:val="00570BA9"/>
    <w:rsid w:val="00582D86"/>
    <w:rsid w:val="00585200"/>
    <w:rsid w:val="005A41FE"/>
    <w:rsid w:val="005A6565"/>
    <w:rsid w:val="005B3981"/>
    <w:rsid w:val="005D1C8A"/>
    <w:rsid w:val="005D3B54"/>
    <w:rsid w:val="005E0424"/>
    <w:rsid w:val="005E6E4D"/>
    <w:rsid w:val="005F2A47"/>
    <w:rsid w:val="005F320E"/>
    <w:rsid w:val="005F59B1"/>
    <w:rsid w:val="00604D10"/>
    <w:rsid w:val="00615D66"/>
    <w:rsid w:val="00616CCA"/>
    <w:rsid w:val="0062072C"/>
    <w:rsid w:val="006211D1"/>
    <w:rsid w:val="00621456"/>
    <w:rsid w:val="006230FA"/>
    <w:rsid w:val="006265AB"/>
    <w:rsid w:val="00651700"/>
    <w:rsid w:val="00663566"/>
    <w:rsid w:val="00667D77"/>
    <w:rsid w:val="00683E86"/>
    <w:rsid w:val="006846B0"/>
    <w:rsid w:val="006A0945"/>
    <w:rsid w:val="006A4CCD"/>
    <w:rsid w:val="006A726F"/>
    <w:rsid w:val="006B29F9"/>
    <w:rsid w:val="006B520D"/>
    <w:rsid w:val="006C18D9"/>
    <w:rsid w:val="006C24A0"/>
    <w:rsid w:val="006C2654"/>
    <w:rsid w:val="006C4E7A"/>
    <w:rsid w:val="006D46FA"/>
    <w:rsid w:val="006D4919"/>
    <w:rsid w:val="006D68BA"/>
    <w:rsid w:val="006D6A4A"/>
    <w:rsid w:val="006E65D3"/>
    <w:rsid w:val="006F503B"/>
    <w:rsid w:val="006F6E34"/>
    <w:rsid w:val="007000DF"/>
    <w:rsid w:val="00704489"/>
    <w:rsid w:val="00712B05"/>
    <w:rsid w:val="007138D8"/>
    <w:rsid w:val="007154C7"/>
    <w:rsid w:val="00715CD6"/>
    <w:rsid w:val="007411E5"/>
    <w:rsid w:val="0074696E"/>
    <w:rsid w:val="00750698"/>
    <w:rsid w:val="0077456C"/>
    <w:rsid w:val="007825C4"/>
    <w:rsid w:val="007921E1"/>
    <w:rsid w:val="00794FF6"/>
    <w:rsid w:val="007A374F"/>
    <w:rsid w:val="007A3763"/>
    <w:rsid w:val="007B5D60"/>
    <w:rsid w:val="007C3E4C"/>
    <w:rsid w:val="007C76C7"/>
    <w:rsid w:val="007D0412"/>
    <w:rsid w:val="007D77E2"/>
    <w:rsid w:val="007E7E6B"/>
    <w:rsid w:val="00800CE3"/>
    <w:rsid w:val="008016BF"/>
    <w:rsid w:val="0080786C"/>
    <w:rsid w:val="00810C1B"/>
    <w:rsid w:val="0081104F"/>
    <w:rsid w:val="00815187"/>
    <w:rsid w:val="00817E92"/>
    <w:rsid w:val="00823804"/>
    <w:rsid w:val="0082526F"/>
    <w:rsid w:val="00825F22"/>
    <w:rsid w:val="00827B57"/>
    <w:rsid w:val="008329E8"/>
    <w:rsid w:val="00832C82"/>
    <w:rsid w:val="0083454B"/>
    <w:rsid w:val="00841A33"/>
    <w:rsid w:val="008447BE"/>
    <w:rsid w:val="00857BA1"/>
    <w:rsid w:val="00862752"/>
    <w:rsid w:val="008676F2"/>
    <w:rsid w:val="008759AF"/>
    <w:rsid w:val="00880F18"/>
    <w:rsid w:val="0088482B"/>
    <w:rsid w:val="008964F1"/>
    <w:rsid w:val="008A122F"/>
    <w:rsid w:val="008A1A98"/>
    <w:rsid w:val="008A41FF"/>
    <w:rsid w:val="008A49E5"/>
    <w:rsid w:val="008B22EA"/>
    <w:rsid w:val="008B2BD3"/>
    <w:rsid w:val="008C168C"/>
    <w:rsid w:val="008C6128"/>
    <w:rsid w:val="008D1AE9"/>
    <w:rsid w:val="008D1CC2"/>
    <w:rsid w:val="008E02F7"/>
    <w:rsid w:val="00915FD5"/>
    <w:rsid w:val="00922506"/>
    <w:rsid w:val="00926158"/>
    <w:rsid w:val="00935A34"/>
    <w:rsid w:val="009417D4"/>
    <w:rsid w:val="00944AFE"/>
    <w:rsid w:val="00950913"/>
    <w:rsid w:val="00950F44"/>
    <w:rsid w:val="00953002"/>
    <w:rsid w:val="00954BBB"/>
    <w:rsid w:val="0095789E"/>
    <w:rsid w:val="00970D54"/>
    <w:rsid w:val="00973D14"/>
    <w:rsid w:val="00973EB5"/>
    <w:rsid w:val="009900F4"/>
    <w:rsid w:val="00991C69"/>
    <w:rsid w:val="00992065"/>
    <w:rsid w:val="00992120"/>
    <w:rsid w:val="009951B4"/>
    <w:rsid w:val="0099624E"/>
    <w:rsid w:val="009A0E8F"/>
    <w:rsid w:val="009A1277"/>
    <w:rsid w:val="009A385D"/>
    <w:rsid w:val="009A3B48"/>
    <w:rsid w:val="009B193C"/>
    <w:rsid w:val="009B631A"/>
    <w:rsid w:val="009B79DA"/>
    <w:rsid w:val="009C674B"/>
    <w:rsid w:val="009D773C"/>
    <w:rsid w:val="009E0F0D"/>
    <w:rsid w:val="009E4807"/>
    <w:rsid w:val="009F1696"/>
    <w:rsid w:val="00A014F6"/>
    <w:rsid w:val="00A1057D"/>
    <w:rsid w:val="00A11318"/>
    <w:rsid w:val="00A21658"/>
    <w:rsid w:val="00A238FF"/>
    <w:rsid w:val="00A32930"/>
    <w:rsid w:val="00A330B5"/>
    <w:rsid w:val="00A360AA"/>
    <w:rsid w:val="00A418E8"/>
    <w:rsid w:val="00A42AC1"/>
    <w:rsid w:val="00A54548"/>
    <w:rsid w:val="00A75DBC"/>
    <w:rsid w:val="00A83B70"/>
    <w:rsid w:val="00A8648B"/>
    <w:rsid w:val="00A864F3"/>
    <w:rsid w:val="00AA03B4"/>
    <w:rsid w:val="00AA06FE"/>
    <w:rsid w:val="00AA3A96"/>
    <w:rsid w:val="00AA4C33"/>
    <w:rsid w:val="00AA6DE6"/>
    <w:rsid w:val="00AC3D1F"/>
    <w:rsid w:val="00AC6365"/>
    <w:rsid w:val="00AD13E5"/>
    <w:rsid w:val="00AD39BE"/>
    <w:rsid w:val="00AD3E8A"/>
    <w:rsid w:val="00AE52ED"/>
    <w:rsid w:val="00AF0039"/>
    <w:rsid w:val="00AF756E"/>
    <w:rsid w:val="00AF7A56"/>
    <w:rsid w:val="00B05683"/>
    <w:rsid w:val="00B110DF"/>
    <w:rsid w:val="00B164AD"/>
    <w:rsid w:val="00B27C5C"/>
    <w:rsid w:val="00B30A4B"/>
    <w:rsid w:val="00B3554A"/>
    <w:rsid w:val="00B3599B"/>
    <w:rsid w:val="00B50CF0"/>
    <w:rsid w:val="00B548F2"/>
    <w:rsid w:val="00B55DEE"/>
    <w:rsid w:val="00B569E8"/>
    <w:rsid w:val="00B56BA2"/>
    <w:rsid w:val="00B62867"/>
    <w:rsid w:val="00B66528"/>
    <w:rsid w:val="00B70281"/>
    <w:rsid w:val="00B723B4"/>
    <w:rsid w:val="00B74BBC"/>
    <w:rsid w:val="00B757A9"/>
    <w:rsid w:val="00B80906"/>
    <w:rsid w:val="00B819A2"/>
    <w:rsid w:val="00B91CA2"/>
    <w:rsid w:val="00BA234F"/>
    <w:rsid w:val="00BB52BB"/>
    <w:rsid w:val="00BC7312"/>
    <w:rsid w:val="00BC7D80"/>
    <w:rsid w:val="00BD2860"/>
    <w:rsid w:val="00BE1F59"/>
    <w:rsid w:val="00BE3BB2"/>
    <w:rsid w:val="00BF0ABA"/>
    <w:rsid w:val="00BF2FF8"/>
    <w:rsid w:val="00C01C8F"/>
    <w:rsid w:val="00C136AF"/>
    <w:rsid w:val="00C329DA"/>
    <w:rsid w:val="00C33E6D"/>
    <w:rsid w:val="00C43F85"/>
    <w:rsid w:val="00C44320"/>
    <w:rsid w:val="00C4724C"/>
    <w:rsid w:val="00C518EC"/>
    <w:rsid w:val="00C631B8"/>
    <w:rsid w:val="00C703F5"/>
    <w:rsid w:val="00C734F6"/>
    <w:rsid w:val="00C75CC3"/>
    <w:rsid w:val="00C8707F"/>
    <w:rsid w:val="00C9575D"/>
    <w:rsid w:val="00CB2572"/>
    <w:rsid w:val="00CB6F90"/>
    <w:rsid w:val="00CC24B6"/>
    <w:rsid w:val="00CC46C6"/>
    <w:rsid w:val="00CE7427"/>
    <w:rsid w:val="00CF1768"/>
    <w:rsid w:val="00CF375E"/>
    <w:rsid w:val="00CF3F61"/>
    <w:rsid w:val="00CF43B1"/>
    <w:rsid w:val="00CF79C5"/>
    <w:rsid w:val="00D06FA8"/>
    <w:rsid w:val="00D159EF"/>
    <w:rsid w:val="00D17942"/>
    <w:rsid w:val="00D20A98"/>
    <w:rsid w:val="00D30B54"/>
    <w:rsid w:val="00D322BC"/>
    <w:rsid w:val="00D33257"/>
    <w:rsid w:val="00D34F0C"/>
    <w:rsid w:val="00D513A4"/>
    <w:rsid w:val="00D57931"/>
    <w:rsid w:val="00D60144"/>
    <w:rsid w:val="00D631A4"/>
    <w:rsid w:val="00D66C6C"/>
    <w:rsid w:val="00D75D5F"/>
    <w:rsid w:val="00D75F7C"/>
    <w:rsid w:val="00D82F93"/>
    <w:rsid w:val="00D8381F"/>
    <w:rsid w:val="00D87CBA"/>
    <w:rsid w:val="00DA2769"/>
    <w:rsid w:val="00DB0647"/>
    <w:rsid w:val="00DB065F"/>
    <w:rsid w:val="00DB0943"/>
    <w:rsid w:val="00DB391A"/>
    <w:rsid w:val="00DC205E"/>
    <w:rsid w:val="00DC22F0"/>
    <w:rsid w:val="00DC414E"/>
    <w:rsid w:val="00DD4073"/>
    <w:rsid w:val="00DD57A7"/>
    <w:rsid w:val="00DD62F3"/>
    <w:rsid w:val="00DD6AF8"/>
    <w:rsid w:val="00DE42C9"/>
    <w:rsid w:val="00DE465B"/>
    <w:rsid w:val="00DF0303"/>
    <w:rsid w:val="00DF11FB"/>
    <w:rsid w:val="00DF29FB"/>
    <w:rsid w:val="00DF33BE"/>
    <w:rsid w:val="00DF523D"/>
    <w:rsid w:val="00E0044D"/>
    <w:rsid w:val="00E065DA"/>
    <w:rsid w:val="00E14A46"/>
    <w:rsid w:val="00E17203"/>
    <w:rsid w:val="00E22CF5"/>
    <w:rsid w:val="00E24417"/>
    <w:rsid w:val="00E268E3"/>
    <w:rsid w:val="00E32C14"/>
    <w:rsid w:val="00E35562"/>
    <w:rsid w:val="00E41762"/>
    <w:rsid w:val="00E45F39"/>
    <w:rsid w:val="00E50334"/>
    <w:rsid w:val="00E5042D"/>
    <w:rsid w:val="00E713AE"/>
    <w:rsid w:val="00E8479B"/>
    <w:rsid w:val="00E92D65"/>
    <w:rsid w:val="00E96AF3"/>
    <w:rsid w:val="00EA0F9C"/>
    <w:rsid w:val="00EA7B52"/>
    <w:rsid w:val="00EB0AA8"/>
    <w:rsid w:val="00EB4007"/>
    <w:rsid w:val="00EB546C"/>
    <w:rsid w:val="00EB6D59"/>
    <w:rsid w:val="00EC0A91"/>
    <w:rsid w:val="00EC0F79"/>
    <w:rsid w:val="00EC148A"/>
    <w:rsid w:val="00EC6979"/>
    <w:rsid w:val="00ED3786"/>
    <w:rsid w:val="00EE2033"/>
    <w:rsid w:val="00EE47D8"/>
    <w:rsid w:val="00EE50CE"/>
    <w:rsid w:val="00EF2A4F"/>
    <w:rsid w:val="00F0220A"/>
    <w:rsid w:val="00F06371"/>
    <w:rsid w:val="00F11BB0"/>
    <w:rsid w:val="00F1689C"/>
    <w:rsid w:val="00F22165"/>
    <w:rsid w:val="00F22D7F"/>
    <w:rsid w:val="00F26B98"/>
    <w:rsid w:val="00F340F0"/>
    <w:rsid w:val="00F3411C"/>
    <w:rsid w:val="00F46FA8"/>
    <w:rsid w:val="00F510B7"/>
    <w:rsid w:val="00F5604C"/>
    <w:rsid w:val="00F60156"/>
    <w:rsid w:val="00F61273"/>
    <w:rsid w:val="00F641EF"/>
    <w:rsid w:val="00F6495C"/>
    <w:rsid w:val="00F66D3E"/>
    <w:rsid w:val="00F728E1"/>
    <w:rsid w:val="00F805E2"/>
    <w:rsid w:val="00F87A87"/>
    <w:rsid w:val="00F90C1D"/>
    <w:rsid w:val="00F9277A"/>
    <w:rsid w:val="00FA293C"/>
    <w:rsid w:val="00FC0E84"/>
    <w:rsid w:val="00FD0D2A"/>
    <w:rsid w:val="00FD3336"/>
    <w:rsid w:val="00FE1840"/>
    <w:rsid w:val="00FF17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C59EB"/>
  <w15:docId w15:val="{86D2F456-70AC-4B16-A115-681296192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7F7"/>
    <w:pPr>
      <w:spacing w:before="60"/>
      <w:ind w:firstLine="720"/>
      <w:jc w:val="both"/>
    </w:pPr>
    <w:rPr>
      <w:sz w:val="26"/>
      <w:szCs w:val="26"/>
      <w:lang w:val="en-US" w:eastAsia="en-US"/>
    </w:rPr>
  </w:style>
  <w:style w:type="paragraph" w:styleId="Heading1">
    <w:name w:val="heading 1"/>
    <w:basedOn w:val="Normal1"/>
    <w:next w:val="Normal1"/>
    <w:uiPriority w:val="9"/>
    <w:qFormat/>
    <w:rsid w:val="005B59D5"/>
    <w:pPr>
      <w:keepNext/>
      <w:keepLines/>
      <w:spacing w:before="480" w:after="120"/>
      <w:outlineLvl w:val="0"/>
    </w:pPr>
    <w:rPr>
      <w:b/>
      <w:sz w:val="48"/>
      <w:szCs w:val="48"/>
    </w:rPr>
  </w:style>
  <w:style w:type="paragraph" w:styleId="Heading2">
    <w:name w:val="heading 2"/>
    <w:basedOn w:val="Normal1"/>
    <w:next w:val="Normal1"/>
    <w:uiPriority w:val="9"/>
    <w:unhideWhenUsed/>
    <w:qFormat/>
    <w:rsid w:val="005B59D5"/>
    <w:pPr>
      <w:keepNext/>
      <w:outlineLvl w:val="1"/>
    </w:pPr>
    <w:rPr>
      <w:i/>
      <w:sz w:val="28"/>
      <w:szCs w:val="28"/>
    </w:rPr>
  </w:style>
  <w:style w:type="paragraph" w:styleId="Heading3">
    <w:name w:val="heading 3"/>
    <w:basedOn w:val="Normal1"/>
    <w:next w:val="Normal1"/>
    <w:uiPriority w:val="9"/>
    <w:unhideWhenUsed/>
    <w:qFormat/>
    <w:rsid w:val="005B59D5"/>
    <w:pPr>
      <w:keepNext/>
      <w:jc w:val="center"/>
      <w:outlineLvl w:val="2"/>
    </w:pPr>
    <w:rPr>
      <w:i/>
      <w:sz w:val="28"/>
      <w:szCs w:val="28"/>
    </w:rPr>
  </w:style>
  <w:style w:type="paragraph" w:styleId="Heading4">
    <w:name w:val="heading 4"/>
    <w:basedOn w:val="Normal1"/>
    <w:next w:val="Normal1"/>
    <w:uiPriority w:val="9"/>
    <w:unhideWhenUsed/>
    <w:qFormat/>
    <w:rsid w:val="005B59D5"/>
    <w:pPr>
      <w:keepNext/>
      <w:keepLines/>
      <w:spacing w:before="240" w:after="40"/>
      <w:outlineLvl w:val="3"/>
    </w:pPr>
    <w:rPr>
      <w:b/>
      <w:sz w:val="24"/>
      <w:szCs w:val="24"/>
    </w:rPr>
  </w:style>
  <w:style w:type="paragraph" w:styleId="Heading5">
    <w:name w:val="heading 5"/>
    <w:basedOn w:val="Normal1"/>
    <w:next w:val="Normal1"/>
    <w:uiPriority w:val="9"/>
    <w:semiHidden/>
    <w:unhideWhenUsed/>
    <w:qFormat/>
    <w:rsid w:val="005B59D5"/>
    <w:pPr>
      <w:keepNext/>
      <w:keepLines/>
      <w:spacing w:before="220" w:after="40"/>
      <w:outlineLvl w:val="4"/>
    </w:pPr>
    <w:rPr>
      <w:b/>
      <w:sz w:val="22"/>
      <w:szCs w:val="22"/>
    </w:rPr>
  </w:style>
  <w:style w:type="paragraph" w:styleId="Heading6">
    <w:name w:val="heading 6"/>
    <w:basedOn w:val="Normal1"/>
    <w:next w:val="Normal1"/>
    <w:uiPriority w:val="9"/>
    <w:semiHidden/>
    <w:unhideWhenUsed/>
    <w:qFormat/>
    <w:rsid w:val="005B59D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rsid w:val="001F16BE"/>
    <w:pPr>
      <w:spacing w:before="60"/>
      <w:ind w:firstLine="720"/>
      <w:jc w:val="both"/>
    </w:pPr>
    <w:rPr>
      <w:sz w:val="26"/>
      <w:szCs w:val="26"/>
      <w:lang w:val="en-US" w:eastAsia="en-US"/>
    </w:rPr>
    <w:tblPr>
      <w:tblCellMar>
        <w:top w:w="0" w:type="dxa"/>
        <w:left w:w="0" w:type="dxa"/>
        <w:bottom w:w="0" w:type="dxa"/>
        <w:right w:w="0" w:type="dxa"/>
      </w:tblCellMar>
    </w:tblPr>
  </w:style>
  <w:style w:type="paragraph" w:styleId="Title">
    <w:name w:val="Title"/>
    <w:basedOn w:val="Normal1"/>
    <w:next w:val="Normal1"/>
    <w:uiPriority w:val="10"/>
    <w:qFormat/>
    <w:rsid w:val="005B59D5"/>
    <w:pPr>
      <w:keepNext/>
      <w:keepLines/>
      <w:spacing w:before="480" w:after="120"/>
    </w:pPr>
    <w:rPr>
      <w:b/>
      <w:sz w:val="72"/>
      <w:szCs w:val="72"/>
    </w:rPr>
  </w:style>
  <w:style w:type="paragraph" w:customStyle="1" w:styleId="Normal10">
    <w:name w:val="Normal1"/>
    <w:rsid w:val="00940015"/>
    <w:pPr>
      <w:spacing w:before="60"/>
      <w:ind w:firstLine="720"/>
      <w:jc w:val="both"/>
    </w:pPr>
    <w:rPr>
      <w:sz w:val="26"/>
      <w:szCs w:val="26"/>
      <w:lang w:val="en-US" w:eastAsia="en-US"/>
    </w:rPr>
  </w:style>
  <w:style w:type="paragraph" w:customStyle="1" w:styleId="Normal1">
    <w:name w:val="Normal1"/>
    <w:rsid w:val="005B59D5"/>
    <w:pPr>
      <w:spacing w:before="60"/>
      <w:ind w:firstLine="720"/>
      <w:jc w:val="both"/>
    </w:pPr>
    <w:rPr>
      <w:sz w:val="26"/>
      <w:szCs w:val="26"/>
      <w:lang w:val="en-US" w:eastAsia="en-US"/>
    </w:rPr>
  </w:style>
  <w:style w:type="paragraph" w:styleId="Subtitle">
    <w:name w:val="Subtitle"/>
    <w:basedOn w:val="Normal"/>
    <w:next w:val="Normal"/>
    <w:uiPriority w:val="11"/>
    <w:qFormat/>
    <w:rsid w:val="001F16B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rsid w:val="005B59D5"/>
    <w:tblPr>
      <w:tblStyleRowBandSize w:val="1"/>
      <w:tblStyleColBandSize w:val="1"/>
    </w:tblPr>
  </w:style>
  <w:style w:type="table" w:customStyle="1" w:styleId="a0">
    <w:basedOn w:val="TableNormal"/>
    <w:rsid w:val="005B59D5"/>
    <w:tblPr>
      <w:tblStyleRowBandSize w:val="1"/>
      <w:tblStyleColBandSize w:val="1"/>
    </w:tblPr>
  </w:style>
  <w:style w:type="table" w:styleId="TableGrid">
    <w:name w:val="Table Grid"/>
    <w:basedOn w:val="TableNormal"/>
    <w:uiPriority w:val="39"/>
    <w:rsid w:val="00955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1">
    <w:basedOn w:val="TableNormal"/>
    <w:rsid w:val="00940015"/>
    <w:tblPr>
      <w:tblStyleRowBandSize w:val="1"/>
      <w:tblStyleColBandSize w:val="1"/>
    </w:tblPr>
  </w:style>
  <w:style w:type="table" w:customStyle="1" w:styleId="a2">
    <w:basedOn w:val="TableNormal"/>
    <w:rsid w:val="00940015"/>
    <w:tblPr>
      <w:tblStyleRowBandSize w:val="1"/>
      <w:tblStyleColBandSize w:val="1"/>
    </w:tblPr>
  </w:style>
  <w:style w:type="table" w:customStyle="1" w:styleId="a3">
    <w:basedOn w:val="TableNormal"/>
    <w:rsid w:val="00940015"/>
    <w:tblPr>
      <w:tblStyleRowBandSize w:val="1"/>
      <w:tblStyleColBandSize w:val="1"/>
    </w:tblPr>
  </w:style>
  <w:style w:type="paragraph" w:styleId="ListParagraph">
    <w:name w:val="List Paragraph"/>
    <w:aliases w:val="1.1.1.1,Main numbered paragraph,List Paragraph1,Bullets,References,List Paragraph (numbered (a)),Resume Title,Citation List,ANNEX,List Paragraph2,List Paragraph 1,Cu Mong 3,TIT 2 IND,FIGURE-List Paragraph,My checklist,Ha,Heading 41,bullet"/>
    <w:basedOn w:val="Normal"/>
    <w:link w:val="ListParagraphChar"/>
    <w:uiPriority w:val="34"/>
    <w:qFormat/>
    <w:rsid w:val="00584D3B"/>
    <w:pPr>
      <w:ind w:left="720"/>
      <w:contextualSpacing/>
    </w:pPr>
  </w:style>
  <w:style w:type="table" w:customStyle="1" w:styleId="a4">
    <w:basedOn w:val="TableNormal"/>
    <w:rsid w:val="00940015"/>
    <w:tblPr>
      <w:tblStyleRowBandSize w:val="1"/>
      <w:tblStyleColBandSize w:val="1"/>
    </w:tblPr>
  </w:style>
  <w:style w:type="table" w:customStyle="1" w:styleId="a5">
    <w:basedOn w:val="TableNormal"/>
    <w:rsid w:val="00940015"/>
    <w:tblPr>
      <w:tblStyleRowBandSize w:val="1"/>
      <w:tblStyleColBandSize w:val="1"/>
    </w:tblPr>
  </w:style>
  <w:style w:type="paragraph" w:styleId="Header">
    <w:name w:val="header"/>
    <w:basedOn w:val="Normal"/>
    <w:link w:val="HeaderChar"/>
    <w:uiPriority w:val="99"/>
    <w:unhideWhenUsed/>
    <w:rsid w:val="003D644C"/>
    <w:pPr>
      <w:tabs>
        <w:tab w:val="center" w:pos="4680"/>
        <w:tab w:val="right" w:pos="9360"/>
      </w:tabs>
      <w:spacing w:before="0"/>
    </w:pPr>
  </w:style>
  <w:style w:type="character" w:customStyle="1" w:styleId="HeaderChar">
    <w:name w:val="Header Char"/>
    <w:basedOn w:val="DefaultParagraphFont"/>
    <w:link w:val="Header"/>
    <w:uiPriority w:val="99"/>
    <w:rsid w:val="003D644C"/>
  </w:style>
  <w:style w:type="paragraph" w:styleId="Footer">
    <w:name w:val="footer"/>
    <w:basedOn w:val="Normal"/>
    <w:link w:val="FooterChar"/>
    <w:uiPriority w:val="99"/>
    <w:unhideWhenUsed/>
    <w:rsid w:val="003D644C"/>
    <w:pPr>
      <w:tabs>
        <w:tab w:val="center" w:pos="4680"/>
        <w:tab w:val="right" w:pos="9360"/>
      </w:tabs>
      <w:spacing w:before="0"/>
    </w:pPr>
  </w:style>
  <w:style w:type="character" w:customStyle="1" w:styleId="FooterChar">
    <w:name w:val="Footer Char"/>
    <w:basedOn w:val="DefaultParagraphFont"/>
    <w:link w:val="Footer"/>
    <w:uiPriority w:val="99"/>
    <w:rsid w:val="003D644C"/>
  </w:style>
  <w:style w:type="table" w:customStyle="1" w:styleId="a6">
    <w:basedOn w:val="TableNormal"/>
    <w:rsid w:val="001F16BE"/>
    <w:tblPr>
      <w:tblStyleRowBandSize w:val="1"/>
      <w:tblStyleColBandSize w:val="1"/>
    </w:tblPr>
  </w:style>
  <w:style w:type="table" w:customStyle="1" w:styleId="a7">
    <w:basedOn w:val="TableNormal"/>
    <w:rsid w:val="001F16BE"/>
    <w:tblPr>
      <w:tblStyleRowBandSize w:val="1"/>
      <w:tblStyleColBandSize w:val="1"/>
    </w:tblPr>
  </w:style>
  <w:style w:type="paragraph" w:styleId="Revision">
    <w:name w:val="Revision"/>
    <w:hidden/>
    <w:uiPriority w:val="99"/>
    <w:semiHidden/>
    <w:rsid w:val="00487F28"/>
    <w:rPr>
      <w:sz w:val="26"/>
      <w:szCs w:val="26"/>
      <w:lang w:val="en-US" w:eastAsia="en-US"/>
    </w:r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single space1 Char"/>
    <w:basedOn w:val="Normal"/>
    <w:link w:val="FootnoteTextChar1"/>
    <w:uiPriority w:val="99"/>
    <w:unhideWhenUsed/>
    <w:qFormat/>
    <w:rsid w:val="00502125"/>
    <w:pPr>
      <w:spacing w:before="120" w:after="120"/>
      <w:ind w:firstLine="0"/>
    </w:pPr>
    <w:rPr>
      <w:position w:val="-1"/>
      <w:sz w:val="20"/>
      <w:szCs w:val="20"/>
    </w:rPr>
  </w:style>
  <w:style w:type="character" w:customStyle="1" w:styleId="FootnoteTextChar">
    <w:name w:val="Footnote Text Char"/>
    <w:basedOn w:val="DefaultParagraphFont"/>
    <w:uiPriority w:val="99"/>
    <w:semiHidden/>
    <w:rsid w:val="00502125"/>
    <w:rPr>
      <w:lang w:val="en-US" w:eastAsia="en-US"/>
    </w:rPr>
  </w:style>
  <w:style w:type="character" w:customStyle="1" w:styleId="FootnoteTextChar1">
    <w:name w:val="Footnote Text Char1"/>
    <w:aliases w:val="fn Char,Footnote Text Char1 Char1 Char,Footnote Text Char Char Char1 Char,Footnote Text Char1 Char Char Char,Footnote Text Char Char Char Char Char Char Char Char1,Footnote Text Char Char Char Char Char Char Char Char Char"/>
    <w:basedOn w:val="DefaultParagraphFont"/>
    <w:link w:val="FootnoteText"/>
    <w:uiPriority w:val="99"/>
    <w:rsid w:val="00502125"/>
    <w:rPr>
      <w:position w:val="-1"/>
      <w:lang w:val="en-US" w:eastAsia="en-US"/>
    </w:rPr>
  </w:style>
  <w:style w:type="character" w:styleId="FootnoteReference">
    <w:name w:val="footnote reference"/>
    <w:aliases w:val="Footnote text, BVI fnr,Re,Footnote dich,Footnote Reference Number,Footnote Reference_LVL6,Footnote text + 13 pt"/>
    <w:basedOn w:val="DefaultParagraphFont"/>
    <w:link w:val="4GCharCharChar"/>
    <w:uiPriority w:val="99"/>
    <w:unhideWhenUsed/>
    <w:qFormat/>
    <w:rsid w:val="00502125"/>
    <w:rPr>
      <w:vertAlign w:val="superscript"/>
    </w:rPr>
  </w:style>
  <w:style w:type="character" w:customStyle="1" w:styleId="ListParagraphChar">
    <w:name w:val="List Paragraph Char"/>
    <w:aliases w:val="1.1.1.1 Char,Main numbered paragraph Char,List Paragraph1 Char,Bullets Char,References Char,List Paragraph (numbered (a)) Char,Resume Title Char,Citation List Char,ANNEX Char,List Paragraph2 Char,List Paragraph 1 Char,Cu Mong 3 Char"/>
    <w:link w:val="ListParagraph"/>
    <w:uiPriority w:val="34"/>
    <w:qFormat/>
    <w:locked/>
    <w:rsid w:val="00502125"/>
    <w:rPr>
      <w:sz w:val="26"/>
      <w:szCs w:val="26"/>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502125"/>
    <w:pPr>
      <w:spacing w:before="100" w:after="120" w:line="240" w:lineRule="exact"/>
    </w:pPr>
    <w:rPr>
      <w:sz w:val="20"/>
      <w:szCs w:val="20"/>
      <w:vertAlign w:val="superscript"/>
      <w:lang w:val="vi-VN" w:eastAsia="vi-VN"/>
    </w:rPr>
  </w:style>
  <w:style w:type="paragraph" w:styleId="NormalWeb">
    <w:name w:val="Normal (Web)"/>
    <w:aliases w:val="Обычный (веб)1,Обычный (веб) Знак,Обычный (веб) Знак1,Обычный (веб) Знак Знак,Normal (Web) Char Char Char Char Char, Char Char Char, Char Char,Char Char Char Char Char Char Char Char Char Char Char Char Char Char Char,Char Cha,Char C,Char8"/>
    <w:basedOn w:val="Normal"/>
    <w:link w:val="NormalWebChar"/>
    <w:uiPriority w:val="99"/>
    <w:unhideWhenUsed/>
    <w:qFormat/>
    <w:rsid w:val="00621456"/>
    <w:pPr>
      <w:spacing w:before="100" w:beforeAutospacing="1" w:after="100" w:afterAutospacing="1"/>
      <w:ind w:firstLine="0"/>
      <w:jc w:val="left"/>
    </w:pPr>
    <w:rPr>
      <w:sz w:val="24"/>
      <w:szCs w:val="24"/>
    </w:rPr>
  </w:style>
  <w:style w:type="paragraph" w:styleId="BalloonText">
    <w:name w:val="Balloon Text"/>
    <w:basedOn w:val="Normal"/>
    <w:link w:val="BalloonTextChar"/>
    <w:uiPriority w:val="99"/>
    <w:semiHidden/>
    <w:unhideWhenUsed/>
    <w:rsid w:val="00434AEF"/>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AEF"/>
    <w:rPr>
      <w:rFonts w:ascii="Segoe UI" w:hAnsi="Segoe UI" w:cs="Segoe UI"/>
      <w:sz w:val="18"/>
      <w:szCs w:val="18"/>
      <w:lang w:val="en-US" w:eastAsia="en-US"/>
    </w:rPr>
  </w:style>
  <w:style w:type="paragraph" w:customStyle="1" w:styleId="2">
    <w:name w:val="2"/>
    <w:basedOn w:val="Normal"/>
    <w:uiPriority w:val="99"/>
    <w:rsid w:val="000F06C3"/>
    <w:pPr>
      <w:spacing w:before="0"/>
      <w:ind w:firstLine="0"/>
    </w:pPr>
    <w:rPr>
      <w:b/>
      <w:bCs/>
      <w:i/>
      <w:iCs/>
      <w:sz w:val="28"/>
      <w:szCs w:val="20"/>
    </w:rPr>
  </w:style>
  <w:style w:type="character" w:customStyle="1" w:styleId="NormalWebChar">
    <w:name w:val="Normal (Web) Char"/>
    <w:aliases w:val="Обычный (веб)1 Char,Обычный (веб) Знак Char,Обычный (веб) Знак1 Char,Обычный (веб) Знак Знак Char,Normal (Web) Char Char Char Char Char Char, Char Char Char Char, Char Char Char1,Char Cha Char,Char C Char,Char8 Char"/>
    <w:link w:val="NormalWeb"/>
    <w:uiPriority w:val="99"/>
    <w:rsid w:val="000F06C3"/>
    <w:rPr>
      <w:sz w:val="24"/>
      <w:szCs w:val="24"/>
      <w:lang w:val="en-US" w:eastAsia="en-US"/>
    </w:rPr>
  </w:style>
  <w:style w:type="character" w:styleId="Strong">
    <w:name w:val="Strong"/>
    <w:basedOn w:val="DefaultParagraphFont"/>
    <w:uiPriority w:val="22"/>
    <w:qFormat/>
    <w:rsid w:val="00880F18"/>
    <w:rPr>
      <w:b/>
      <w:bCs/>
    </w:rPr>
  </w:style>
  <w:style w:type="paragraph" w:styleId="BodyTextIndent">
    <w:name w:val="Body Text Indent"/>
    <w:basedOn w:val="Normal"/>
    <w:link w:val="BodyTextIndentChar"/>
    <w:rsid w:val="00BA234F"/>
    <w:pPr>
      <w:spacing w:before="120" w:after="120"/>
      <w:ind w:firstLine="539"/>
    </w:pPr>
    <w:rPr>
      <w:sz w:val="28"/>
      <w:szCs w:val="24"/>
    </w:rPr>
  </w:style>
  <w:style w:type="character" w:customStyle="1" w:styleId="BodyTextIndentChar">
    <w:name w:val="Body Text Indent Char"/>
    <w:basedOn w:val="DefaultParagraphFont"/>
    <w:link w:val="BodyTextIndent"/>
    <w:rsid w:val="00BA234F"/>
    <w:rPr>
      <w:sz w:val="28"/>
      <w:szCs w:val="24"/>
      <w:lang w:val="en-US" w:eastAsia="en-US"/>
    </w:rPr>
  </w:style>
  <w:style w:type="paragraph" w:styleId="BodyText">
    <w:name w:val="Body Text"/>
    <w:basedOn w:val="Normal"/>
    <w:link w:val="BodyTextChar"/>
    <w:uiPriority w:val="99"/>
    <w:unhideWhenUsed/>
    <w:rsid w:val="00BA234F"/>
    <w:pPr>
      <w:spacing w:before="0" w:after="120"/>
      <w:ind w:firstLine="0"/>
      <w:jc w:val="left"/>
    </w:pPr>
    <w:rPr>
      <w:sz w:val="28"/>
      <w:szCs w:val="28"/>
    </w:rPr>
  </w:style>
  <w:style w:type="character" w:customStyle="1" w:styleId="BodyTextChar">
    <w:name w:val="Body Text Char"/>
    <w:basedOn w:val="DefaultParagraphFont"/>
    <w:link w:val="BodyText"/>
    <w:uiPriority w:val="99"/>
    <w:rsid w:val="00BA234F"/>
    <w:rPr>
      <w:sz w:val="28"/>
      <w:szCs w:val="28"/>
      <w:lang w:val="en-US" w:eastAsia="en-US"/>
    </w:rPr>
  </w:style>
  <w:style w:type="character" w:customStyle="1" w:styleId="Vnbnnidung">
    <w:name w:val="Văn bản nội dung_"/>
    <w:link w:val="Vnbnnidung0"/>
    <w:uiPriority w:val="99"/>
    <w:locked/>
    <w:rsid w:val="00BA234F"/>
    <w:rPr>
      <w:szCs w:val="28"/>
    </w:rPr>
  </w:style>
  <w:style w:type="paragraph" w:customStyle="1" w:styleId="Vnbnnidung0">
    <w:name w:val="Văn bản nội dung"/>
    <w:basedOn w:val="Normal"/>
    <w:link w:val="Vnbnnidung"/>
    <w:uiPriority w:val="99"/>
    <w:rsid w:val="00BA234F"/>
    <w:pPr>
      <w:widowControl w:val="0"/>
      <w:spacing w:before="0" w:after="220"/>
      <w:ind w:firstLine="400"/>
      <w:jc w:val="left"/>
    </w:pPr>
    <w:rPr>
      <w:sz w:val="20"/>
      <w:szCs w:val="28"/>
      <w:lang w:val="vi-VN" w:eastAsia="vi-VN"/>
    </w:rPr>
  </w:style>
  <w:style w:type="character" w:styleId="Hyperlink">
    <w:name w:val="Hyperlink"/>
    <w:basedOn w:val="DefaultParagraphFont"/>
    <w:uiPriority w:val="99"/>
    <w:unhideWhenUsed/>
    <w:rsid w:val="007C3E4C"/>
    <w:rPr>
      <w:color w:val="0563C1" w:themeColor="hyperlink"/>
      <w:u w:val="single"/>
    </w:rPr>
  </w:style>
  <w:style w:type="character" w:styleId="CommentReference">
    <w:name w:val="annotation reference"/>
    <w:basedOn w:val="DefaultParagraphFont"/>
    <w:uiPriority w:val="99"/>
    <w:semiHidden/>
    <w:unhideWhenUsed/>
    <w:rsid w:val="00F46FA8"/>
    <w:rPr>
      <w:sz w:val="16"/>
      <w:szCs w:val="16"/>
    </w:rPr>
  </w:style>
  <w:style w:type="paragraph" w:styleId="CommentText">
    <w:name w:val="annotation text"/>
    <w:basedOn w:val="Normal"/>
    <w:link w:val="CommentTextChar"/>
    <w:uiPriority w:val="99"/>
    <w:unhideWhenUsed/>
    <w:rsid w:val="00F46FA8"/>
    <w:rPr>
      <w:sz w:val="20"/>
      <w:szCs w:val="20"/>
    </w:rPr>
  </w:style>
  <w:style w:type="character" w:customStyle="1" w:styleId="CommentTextChar">
    <w:name w:val="Comment Text Char"/>
    <w:basedOn w:val="DefaultParagraphFont"/>
    <w:link w:val="CommentText"/>
    <w:uiPriority w:val="99"/>
    <w:rsid w:val="00F46FA8"/>
    <w:rPr>
      <w:lang w:val="en-US" w:eastAsia="en-US"/>
    </w:rPr>
  </w:style>
  <w:style w:type="paragraph" w:styleId="CommentSubject">
    <w:name w:val="annotation subject"/>
    <w:basedOn w:val="CommentText"/>
    <w:next w:val="CommentText"/>
    <w:link w:val="CommentSubjectChar"/>
    <w:uiPriority w:val="99"/>
    <w:semiHidden/>
    <w:unhideWhenUsed/>
    <w:rsid w:val="00F46FA8"/>
    <w:rPr>
      <w:b/>
      <w:bCs/>
    </w:rPr>
  </w:style>
  <w:style w:type="character" w:customStyle="1" w:styleId="CommentSubjectChar">
    <w:name w:val="Comment Subject Char"/>
    <w:basedOn w:val="CommentTextChar"/>
    <w:link w:val="CommentSubject"/>
    <w:uiPriority w:val="99"/>
    <w:semiHidden/>
    <w:rsid w:val="00F46FA8"/>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5383">
      <w:bodyDiv w:val="1"/>
      <w:marLeft w:val="0"/>
      <w:marRight w:val="0"/>
      <w:marTop w:val="0"/>
      <w:marBottom w:val="0"/>
      <w:divBdr>
        <w:top w:val="none" w:sz="0" w:space="0" w:color="auto"/>
        <w:left w:val="none" w:sz="0" w:space="0" w:color="auto"/>
        <w:bottom w:val="none" w:sz="0" w:space="0" w:color="auto"/>
        <w:right w:val="none" w:sz="0" w:space="0" w:color="auto"/>
      </w:divBdr>
    </w:div>
    <w:div w:id="197163806">
      <w:bodyDiv w:val="1"/>
      <w:marLeft w:val="0"/>
      <w:marRight w:val="0"/>
      <w:marTop w:val="0"/>
      <w:marBottom w:val="0"/>
      <w:divBdr>
        <w:top w:val="none" w:sz="0" w:space="0" w:color="auto"/>
        <w:left w:val="none" w:sz="0" w:space="0" w:color="auto"/>
        <w:bottom w:val="none" w:sz="0" w:space="0" w:color="auto"/>
        <w:right w:val="none" w:sz="0" w:space="0" w:color="auto"/>
      </w:divBdr>
    </w:div>
    <w:div w:id="231283436">
      <w:bodyDiv w:val="1"/>
      <w:marLeft w:val="0"/>
      <w:marRight w:val="0"/>
      <w:marTop w:val="0"/>
      <w:marBottom w:val="0"/>
      <w:divBdr>
        <w:top w:val="none" w:sz="0" w:space="0" w:color="auto"/>
        <w:left w:val="none" w:sz="0" w:space="0" w:color="auto"/>
        <w:bottom w:val="none" w:sz="0" w:space="0" w:color="auto"/>
        <w:right w:val="none" w:sz="0" w:space="0" w:color="auto"/>
      </w:divBdr>
    </w:div>
    <w:div w:id="405227376">
      <w:bodyDiv w:val="1"/>
      <w:marLeft w:val="0"/>
      <w:marRight w:val="0"/>
      <w:marTop w:val="0"/>
      <w:marBottom w:val="0"/>
      <w:divBdr>
        <w:top w:val="none" w:sz="0" w:space="0" w:color="auto"/>
        <w:left w:val="none" w:sz="0" w:space="0" w:color="auto"/>
        <w:bottom w:val="none" w:sz="0" w:space="0" w:color="auto"/>
        <w:right w:val="none" w:sz="0" w:space="0" w:color="auto"/>
      </w:divBdr>
    </w:div>
    <w:div w:id="732168347">
      <w:bodyDiv w:val="1"/>
      <w:marLeft w:val="0"/>
      <w:marRight w:val="0"/>
      <w:marTop w:val="0"/>
      <w:marBottom w:val="0"/>
      <w:divBdr>
        <w:top w:val="none" w:sz="0" w:space="0" w:color="auto"/>
        <w:left w:val="none" w:sz="0" w:space="0" w:color="auto"/>
        <w:bottom w:val="none" w:sz="0" w:space="0" w:color="auto"/>
        <w:right w:val="none" w:sz="0" w:space="0" w:color="auto"/>
      </w:divBdr>
    </w:div>
    <w:div w:id="744575379">
      <w:bodyDiv w:val="1"/>
      <w:marLeft w:val="0"/>
      <w:marRight w:val="0"/>
      <w:marTop w:val="0"/>
      <w:marBottom w:val="0"/>
      <w:divBdr>
        <w:top w:val="none" w:sz="0" w:space="0" w:color="auto"/>
        <w:left w:val="none" w:sz="0" w:space="0" w:color="auto"/>
        <w:bottom w:val="none" w:sz="0" w:space="0" w:color="auto"/>
        <w:right w:val="none" w:sz="0" w:space="0" w:color="auto"/>
      </w:divBdr>
    </w:div>
    <w:div w:id="848257144">
      <w:bodyDiv w:val="1"/>
      <w:marLeft w:val="0"/>
      <w:marRight w:val="0"/>
      <w:marTop w:val="0"/>
      <w:marBottom w:val="0"/>
      <w:divBdr>
        <w:top w:val="none" w:sz="0" w:space="0" w:color="auto"/>
        <w:left w:val="none" w:sz="0" w:space="0" w:color="auto"/>
        <w:bottom w:val="none" w:sz="0" w:space="0" w:color="auto"/>
        <w:right w:val="none" w:sz="0" w:space="0" w:color="auto"/>
      </w:divBdr>
    </w:div>
    <w:div w:id="1012535786">
      <w:bodyDiv w:val="1"/>
      <w:marLeft w:val="0"/>
      <w:marRight w:val="0"/>
      <w:marTop w:val="0"/>
      <w:marBottom w:val="0"/>
      <w:divBdr>
        <w:top w:val="none" w:sz="0" w:space="0" w:color="auto"/>
        <w:left w:val="none" w:sz="0" w:space="0" w:color="auto"/>
        <w:bottom w:val="none" w:sz="0" w:space="0" w:color="auto"/>
        <w:right w:val="none" w:sz="0" w:space="0" w:color="auto"/>
      </w:divBdr>
    </w:div>
    <w:div w:id="1176457712">
      <w:bodyDiv w:val="1"/>
      <w:marLeft w:val="0"/>
      <w:marRight w:val="0"/>
      <w:marTop w:val="0"/>
      <w:marBottom w:val="0"/>
      <w:divBdr>
        <w:top w:val="none" w:sz="0" w:space="0" w:color="auto"/>
        <w:left w:val="none" w:sz="0" w:space="0" w:color="auto"/>
        <w:bottom w:val="none" w:sz="0" w:space="0" w:color="auto"/>
        <w:right w:val="none" w:sz="0" w:space="0" w:color="auto"/>
      </w:divBdr>
    </w:div>
    <w:div w:id="1227565171">
      <w:bodyDiv w:val="1"/>
      <w:marLeft w:val="0"/>
      <w:marRight w:val="0"/>
      <w:marTop w:val="0"/>
      <w:marBottom w:val="0"/>
      <w:divBdr>
        <w:top w:val="none" w:sz="0" w:space="0" w:color="auto"/>
        <w:left w:val="none" w:sz="0" w:space="0" w:color="auto"/>
        <w:bottom w:val="none" w:sz="0" w:space="0" w:color="auto"/>
        <w:right w:val="none" w:sz="0" w:space="0" w:color="auto"/>
      </w:divBdr>
    </w:div>
    <w:div w:id="1290866196">
      <w:bodyDiv w:val="1"/>
      <w:marLeft w:val="0"/>
      <w:marRight w:val="0"/>
      <w:marTop w:val="0"/>
      <w:marBottom w:val="0"/>
      <w:divBdr>
        <w:top w:val="none" w:sz="0" w:space="0" w:color="auto"/>
        <w:left w:val="none" w:sz="0" w:space="0" w:color="auto"/>
        <w:bottom w:val="none" w:sz="0" w:space="0" w:color="auto"/>
        <w:right w:val="none" w:sz="0" w:space="0" w:color="auto"/>
      </w:divBdr>
    </w:div>
    <w:div w:id="1706058260">
      <w:bodyDiv w:val="1"/>
      <w:marLeft w:val="0"/>
      <w:marRight w:val="0"/>
      <w:marTop w:val="0"/>
      <w:marBottom w:val="0"/>
      <w:divBdr>
        <w:top w:val="none" w:sz="0" w:space="0" w:color="auto"/>
        <w:left w:val="none" w:sz="0" w:space="0" w:color="auto"/>
        <w:bottom w:val="none" w:sz="0" w:space="0" w:color="auto"/>
        <w:right w:val="none" w:sz="0" w:space="0" w:color="auto"/>
      </w:divBdr>
    </w:div>
    <w:div w:id="1771048325">
      <w:bodyDiv w:val="1"/>
      <w:marLeft w:val="0"/>
      <w:marRight w:val="0"/>
      <w:marTop w:val="0"/>
      <w:marBottom w:val="0"/>
      <w:divBdr>
        <w:top w:val="none" w:sz="0" w:space="0" w:color="auto"/>
        <w:left w:val="none" w:sz="0" w:space="0" w:color="auto"/>
        <w:bottom w:val="none" w:sz="0" w:space="0" w:color="auto"/>
        <w:right w:val="none" w:sz="0" w:space="0" w:color="auto"/>
      </w:divBdr>
    </w:div>
    <w:div w:id="1968120687">
      <w:bodyDiv w:val="1"/>
      <w:marLeft w:val="0"/>
      <w:marRight w:val="0"/>
      <w:marTop w:val="0"/>
      <w:marBottom w:val="0"/>
      <w:divBdr>
        <w:top w:val="none" w:sz="0" w:space="0" w:color="auto"/>
        <w:left w:val="none" w:sz="0" w:space="0" w:color="auto"/>
        <w:bottom w:val="none" w:sz="0" w:space="0" w:color="auto"/>
        <w:right w:val="none" w:sz="0" w:space="0" w:color="auto"/>
      </w:divBdr>
    </w:div>
    <w:div w:id="2114281863">
      <w:bodyDiv w:val="1"/>
      <w:marLeft w:val="0"/>
      <w:marRight w:val="0"/>
      <w:marTop w:val="0"/>
      <w:marBottom w:val="0"/>
      <w:divBdr>
        <w:top w:val="none" w:sz="0" w:space="0" w:color="auto"/>
        <w:left w:val="none" w:sz="0" w:space="0" w:color="auto"/>
        <w:bottom w:val="none" w:sz="0" w:space="0" w:color="auto"/>
        <w:right w:val="none" w:sz="0" w:space="0" w:color="auto"/>
      </w:divBdr>
    </w:div>
    <w:div w:id="2129885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4uB4A1djDlb7QtExrADdURgzcA==">CgMxLjA4AHIhMWtueGpfN09kcGp1ZU9NVkxOUXlYYmttNnNXMndFVFdW</go:docsCustomData>
</go:gDocsCustomXmlDataStorage>
</file>

<file path=customXml/itemProps1.xml><?xml version="1.0" encoding="utf-8"?>
<ds:datastoreItem xmlns:ds="http://schemas.openxmlformats.org/officeDocument/2006/customXml" ds:itemID="{F1C879F1-D3AE-4C64-8C0C-C56DA100978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8967</Words>
  <Characters>51113</Characters>
  <Application>Microsoft Office Word</Application>
  <DocSecurity>0</DocSecurity>
  <Lines>425</Lines>
  <Paragraphs>119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NTHQ</dc:creator>
  <cp:lastModifiedBy>Administrator</cp:lastModifiedBy>
  <cp:revision>4</cp:revision>
  <cp:lastPrinted>2026-03-31T04:29:00Z</cp:lastPrinted>
  <dcterms:created xsi:type="dcterms:W3CDTF">2026-03-31T02:59:00Z</dcterms:created>
  <dcterms:modified xsi:type="dcterms:W3CDTF">2026-03-31T07:09:00Z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0x010100DA0D100D1A42E04D83AD954A6E2091D2</vt:lpwstr>
  </property>
  <property fmtid="{D5CDD505-2E9C-101B-9397-08002B2CF9AE}" pid="3" name="Hạn góp ý phối hợp">
    <vt:lpwstr>2019-10-07T00:00:00Z</vt:lpwstr>
  </property>
  <property fmtid="{D5CDD505-2E9C-101B-9397-08002B2CF9AE}" pid="4" name="Xin ý kiến">
    <vt:lpwstr>Phối hợp</vt:lpwstr>
  </property>
  <property fmtid="{D5CDD505-2E9C-101B-9397-08002B2CF9AE}" pid="5" name="Đã trả lời">
    <vt:lpwstr>0</vt:lpwstr>
  </property>
  <property fmtid="{D5CDD505-2E9C-101B-9397-08002B2CF9AE}" pid="6" name="Phân loại">
    <vt:lpwstr>Xây dựng ngành</vt:lpwstr>
  </property>
  <property fmtid="{D5CDD505-2E9C-101B-9397-08002B2CF9AE}" pid="7" name="ContentType">
    <vt:lpwstr>Document</vt:lpwstr>
  </property>
</Properties>
</file>